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EB1" w:rsidRDefault="007B0EB1" w:rsidP="004E6D19">
      <w:pPr>
        <w:pStyle w:val="refCaracterCaracterCaracterCaracterCaracterCaracterCaracterCaracter"/>
        <w:jc w:val="center"/>
        <w:rPr>
          <w:b/>
          <w:sz w:val="32"/>
          <w:szCs w:val="32"/>
        </w:rPr>
      </w:pPr>
    </w:p>
    <w:p w:rsidR="004E6D19" w:rsidRPr="007B0EB1" w:rsidRDefault="004E6D19" w:rsidP="004E6D19">
      <w:pPr>
        <w:pStyle w:val="refCaracterCaracterCaracterCaracterCaracterCaracterCaracterCaracter"/>
        <w:jc w:val="center"/>
        <w:rPr>
          <w:b/>
          <w:sz w:val="32"/>
          <w:szCs w:val="32"/>
        </w:rPr>
      </w:pPr>
      <w:r w:rsidRPr="007B0EB1">
        <w:rPr>
          <w:b/>
          <w:sz w:val="32"/>
          <w:szCs w:val="32"/>
        </w:rPr>
        <w:t>Industria farmaceutică românească</w:t>
      </w:r>
    </w:p>
    <w:p w:rsidR="004E6D19" w:rsidRPr="007B0EB1" w:rsidRDefault="004E6D19" w:rsidP="005766D7">
      <w:pPr>
        <w:pStyle w:val="refCaracterCaracterCaracterCaracterCaracterCaracterCaracterCaracter"/>
        <w:rPr>
          <w:b/>
          <w:i/>
          <w:sz w:val="28"/>
          <w:szCs w:val="28"/>
        </w:rPr>
      </w:pPr>
    </w:p>
    <w:p w:rsidR="007B0EB1" w:rsidRPr="007B0EB1" w:rsidRDefault="007B0EB1" w:rsidP="005766D7">
      <w:pPr>
        <w:pStyle w:val="refCaracterCaracterCaracterCaracterCaracterCaracterCaracterCaracter"/>
        <w:rPr>
          <w:b/>
          <w:i/>
          <w:sz w:val="28"/>
          <w:szCs w:val="28"/>
        </w:rPr>
      </w:pPr>
    </w:p>
    <w:p w:rsidR="008E4155" w:rsidRPr="007B0EB1" w:rsidRDefault="008E4155" w:rsidP="008E4155">
      <w:pPr>
        <w:pStyle w:val="refCaracterCaracterCaracterCaracterCaracterCaracterCaracterCaracter"/>
        <w:rPr>
          <w:sz w:val="28"/>
          <w:szCs w:val="28"/>
        </w:rPr>
      </w:pPr>
      <w:r w:rsidRPr="007B0EB1">
        <w:rPr>
          <w:b/>
          <w:i/>
          <w:sz w:val="28"/>
          <w:szCs w:val="28"/>
        </w:rPr>
        <w:t>Caracteristicile industriei farmaceutice</w:t>
      </w:r>
      <w:r w:rsidRPr="007B0EB1">
        <w:rPr>
          <w:sz w:val="28"/>
          <w:szCs w:val="28"/>
        </w:rPr>
        <w:t xml:space="preserve">, care reclamă abordări speciale, de la etapa previziunilor cererii până la distribuţie, sunt </w:t>
      </w:r>
      <w:r w:rsidR="00F64BE6">
        <w:rPr>
          <w:sz w:val="28"/>
          <w:szCs w:val="28"/>
        </w:rPr>
        <w:t>(cit04)</w:t>
      </w:r>
      <w:r w:rsidRPr="007B0EB1">
        <w:rPr>
          <w:sz w:val="28"/>
          <w:szCs w:val="28"/>
        </w:rPr>
        <w:t>:</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necesitatea unei planificări globale, bazate pe un portofoliu de produse;</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previziunile cu privire la cerere se bazează pe istoricul cererii, pe caracterul sezonier al acesteia, caracterul aleator al apariţiei diverselor epidemii care reclamă rapid anumite medicamente pe piaţă şi pe comunicarea cu furnizorii de materii prime, contractorii şi chiar cu medicii;</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previzionarea lentă a cererii poate însemna pierderea cotelor de piaţă, deoarece indisponibilitatea pe piaţă a unor produse farmaceutice obligă consumatorii la căutarea rapidă a substituenţilor. Previzionarea cererii, a producţiei, a inventarului şi a dezvoltării pot fi extrem de dificile deoarece anumite procese de producţie pot necesita până la 16 luni din cauza duratei mari a ciclului de producţie. Majoritatea companiilor întâmpină aceste dificultăţi prin producerea unei cantităţi de 2-4 ori mai mare decât cererea previzionată, dar nu întotdeauna aceasta se dovedeşte a fi o soluţie eficientă;</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lang w:val="it-IT"/>
        </w:rPr>
        <w:t>domeniul farmaceutic reclamă</w:t>
      </w:r>
      <w:r w:rsidRPr="007B0EB1">
        <w:rPr>
          <w:sz w:val="28"/>
          <w:szCs w:val="28"/>
        </w:rPr>
        <w:t xml:space="preserve"> - de la descoperirea formulei medicamentului până la testarea produsului finit şi deciziile financiare - un nivel ridicat de rigoare;</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reglementările privind calitatea;</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 xml:space="preserve">necesitatea validării - stabilirea evidenţelor documentate care asigură că un proces va respecta specificaţiile; </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aspectul critic al exclusivităţii medicamentelor, care atrage după sine expirarea patentelor, pierderea protecţiei patentelor şi deci reducerea / pierderea cotei de piaţă;</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din cauza naturii precise a producţiei, regulamentele dictează integrarea strictă a controlului pentru testare şi asigurarea calităţii. Frecvent, producţia este pusă în aşteptare până ce experţii din domeniul calităţii aprobă fazele următoare ale procesării;</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 xml:space="preserve">diversitatea formelor de condiţionare şi ambalare a produselor (uneori, chiar a aceluiaşi produs) - comprimate, capsule, soluţii, alifii etc.; </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starea flexibilă a produselor şi anume: produs în faza de formulare, în producţie, stoc, medicament pentru aprobare sau produs în tranzit. Unele stadii prezintă chiar subcategorii (ex. carantina poate fi cauzată de materiale expirate, de produse în curs de investigare sau produse în aşteptarea rezultatelor testelor). Acestea impun abordarea diferită a produsului în fluxul productiv;</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 xml:space="preserve">durata mare şi </w:t>
      </w:r>
      <w:r w:rsidRPr="00486CEC">
        <w:rPr>
          <w:sz w:val="28"/>
          <w:szCs w:val="28"/>
        </w:rPr>
        <w:t xml:space="preserve">costurile </w:t>
      </w:r>
      <w:r w:rsidRPr="007B0EB1">
        <w:rPr>
          <w:sz w:val="28"/>
          <w:szCs w:val="28"/>
          <w:u w:val="single"/>
        </w:rPr>
        <w:t>mari</w:t>
      </w:r>
      <w:r w:rsidRPr="007B0EB1">
        <w:rPr>
          <w:sz w:val="28"/>
          <w:szCs w:val="28"/>
        </w:rPr>
        <w:t xml:space="preserve"> ale cercetării şi ciclurilor de dezvoltare; anual se descoperă mii de compuşi, dar numai câţiva intră în stadiul preclinic şi mai puţin de 10% dintre ei devin </w:t>
      </w:r>
      <w:r w:rsidRPr="00486CEC">
        <w:rPr>
          <w:sz w:val="28"/>
          <w:szCs w:val="28"/>
        </w:rPr>
        <w:t xml:space="preserve">produse </w:t>
      </w:r>
      <w:r w:rsidRPr="007B0EB1">
        <w:rPr>
          <w:sz w:val="28"/>
          <w:szCs w:val="28"/>
          <w:u w:val="single"/>
        </w:rPr>
        <w:t>acceptate</w:t>
      </w:r>
      <w:r w:rsidRPr="007B0EB1">
        <w:rPr>
          <w:sz w:val="28"/>
          <w:szCs w:val="28"/>
        </w:rPr>
        <w:t>;</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 xml:space="preserve">operaţiile sunt adeseori dinamice, în timp ce în alte industrii procesele rămân constante pentru un anumit produs. Fazele de procesare pot depinde de fazele </w:t>
      </w:r>
      <w:r w:rsidRPr="007B0EB1">
        <w:rPr>
          <w:sz w:val="28"/>
          <w:szCs w:val="28"/>
        </w:rPr>
        <w:lastRenderedPageBreak/>
        <w:t>anterioare sau următoare (ex. multiple nivele de curăţare a instrumentarului dacă tipul de produs diferă de cel procesat anterior);</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produsele, în orice fază s-ar afla, nu suportă aşteptări pentru a trece în fazele următoare;</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 xml:space="preserve">necesitatea încercărilor clinice prin prelevare de mostre în timpul producţiei - numai în </w:t>
      </w:r>
      <w:r w:rsidR="00A95CB7">
        <w:rPr>
          <w:sz w:val="28"/>
          <w:szCs w:val="28"/>
        </w:rPr>
        <w:t>ind.</w:t>
      </w:r>
      <w:r w:rsidRPr="007B0EB1">
        <w:rPr>
          <w:sz w:val="28"/>
          <w:szCs w:val="28"/>
        </w:rPr>
        <w:t xml:space="preserve"> farmaceutică cercetarea include încercări clinice complexe, în timpul cărora procesele şi dezvoltarea produsului trebuie să continue;</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nevoia planificării astfel încât anumite faze ale producţiei să nu fie întrerupte de încheierea unui schimb (mai ales în cazul acelor instalaţii care nu funcţionează în flux continuu);</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imposibilitatea amestecării materialelor diferite în camerele de stocare;</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necesitatea reciclării anumitor materiale.</w:t>
      </w:r>
    </w:p>
    <w:p w:rsidR="008E4155" w:rsidRDefault="008E4155" w:rsidP="008E4155">
      <w:pPr>
        <w:pStyle w:val="refCaracterCaracterCaracterCaracterCaracterCaracterCaracterCaracter"/>
        <w:rPr>
          <w:sz w:val="28"/>
          <w:szCs w:val="28"/>
        </w:rPr>
      </w:pPr>
    </w:p>
    <w:p w:rsidR="00553126" w:rsidRDefault="00553126" w:rsidP="008E4155">
      <w:pPr>
        <w:pStyle w:val="refCaracterCaracterCaracterCaracterCaracterCaracterCaracterCaracter"/>
        <w:rPr>
          <w:sz w:val="28"/>
          <w:szCs w:val="28"/>
        </w:rPr>
      </w:pPr>
      <w:r>
        <w:rPr>
          <w:sz w:val="28"/>
          <w:szCs w:val="28"/>
        </w:rPr>
        <w:t xml:space="preserve">În tabelul 1 de la pagina sunt prezentate pe scurt aceste caracteristici. </w:t>
      </w:r>
    </w:p>
    <w:p w:rsidR="00553126" w:rsidRPr="007B0EB1" w:rsidRDefault="00553126" w:rsidP="008E4155">
      <w:pPr>
        <w:pStyle w:val="refCaracterCaracterCaracterCaracterCaracterCaracterCaracterCaracter"/>
        <w:rPr>
          <w:sz w:val="28"/>
          <w:szCs w:val="28"/>
        </w:rPr>
      </w:pPr>
    </w:p>
    <w:p w:rsidR="007B0EB1" w:rsidRDefault="008E4155" w:rsidP="008E4155">
      <w:pPr>
        <w:pStyle w:val="refCaracterCaracterCaracterCaracterCaracterCaracterCaracterCaracter"/>
        <w:rPr>
          <w:sz w:val="28"/>
          <w:szCs w:val="28"/>
        </w:rPr>
      </w:pPr>
      <w:r w:rsidRPr="007B0EB1">
        <w:rPr>
          <w:i/>
          <w:sz w:val="28"/>
          <w:szCs w:val="28"/>
        </w:rPr>
        <w:t>Standardele stricte de calitate sunt factorul principal care situează această industrie pe poziţii distincte faţă de alte industrii producătoare</w:t>
      </w:r>
      <w:r w:rsidRPr="007B0EB1">
        <w:rPr>
          <w:sz w:val="28"/>
          <w:szCs w:val="28"/>
        </w:rPr>
        <w:t>. Fiecare ţară dispune de agenţii specializate, care se ocupă cu legislaţia, previziunile şi practicile comune în domeniu</w:t>
      </w:r>
      <w:r w:rsidR="00F64BE6">
        <w:rPr>
          <w:sz w:val="28"/>
          <w:szCs w:val="28"/>
        </w:rPr>
        <w:t xml:space="preserve"> (cit01)</w:t>
      </w:r>
      <w:r w:rsidRPr="007B0EB1">
        <w:rPr>
          <w:sz w:val="28"/>
          <w:szCs w:val="28"/>
        </w:rPr>
        <w:t xml:space="preserve">. </w:t>
      </w:r>
    </w:p>
    <w:p w:rsidR="007B0EB1" w:rsidRDefault="007B0EB1" w:rsidP="008E4155">
      <w:pPr>
        <w:pStyle w:val="refCaracterCaracterCaracterCaracterCaracterCaracterCaracterCaracter"/>
        <w:rPr>
          <w:sz w:val="28"/>
          <w:szCs w:val="28"/>
        </w:rPr>
      </w:pPr>
    </w:p>
    <w:p w:rsidR="008E4155" w:rsidRPr="007B0EB1" w:rsidRDefault="008E4155" w:rsidP="008E4155">
      <w:pPr>
        <w:pStyle w:val="refCaracterCaracterCaracterCaracterCaracterCaracterCaracterCaracter"/>
        <w:rPr>
          <w:sz w:val="28"/>
          <w:szCs w:val="28"/>
        </w:rPr>
      </w:pPr>
      <w:r w:rsidRPr="007B0EB1">
        <w:rPr>
          <w:sz w:val="28"/>
          <w:szCs w:val="28"/>
        </w:rPr>
        <w:t>În România,</w:t>
      </w:r>
      <w:r w:rsidRPr="007B0EB1">
        <w:rPr>
          <w:bCs/>
          <w:sz w:val="28"/>
          <w:szCs w:val="28"/>
        </w:rPr>
        <w:t xml:space="preserve"> </w:t>
      </w:r>
      <w:r w:rsidRPr="007B0EB1">
        <w:rPr>
          <w:b/>
          <w:i/>
          <w:sz w:val="28"/>
          <w:szCs w:val="28"/>
        </w:rPr>
        <w:t xml:space="preserve">Ministerul Sănătăţii </w:t>
      </w:r>
      <w:r w:rsidRPr="007B0EB1">
        <w:rPr>
          <w:sz w:val="28"/>
          <w:szCs w:val="28"/>
        </w:rPr>
        <w:t xml:space="preserve">este organismul care autorizează funcţionarea unităţilor de producţie pentru </w:t>
      </w:r>
      <w:r w:rsidRPr="00486CEC">
        <w:rPr>
          <w:sz w:val="28"/>
          <w:szCs w:val="28"/>
        </w:rPr>
        <w:t xml:space="preserve">medicamente de uz </w:t>
      </w:r>
      <w:r w:rsidRPr="007B0EB1">
        <w:rPr>
          <w:sz w:val="28"/>
          <w:szCs w:val="28"/>
          <w:u w:val="single"/>
        </w:rPr>
        <w:t>uman</w:t>
      </w:r>
      <w:r w:rsidRPr="007B0EB1">
        <w:rPr>
          <w:sz w:val="28"/>
          <w:szCs w:val="28"/>
        </w:rPr>
        <w:t xml:space="preserve">, iar </w:t>
      </w:r>
      <w:r w:rsidRPr="007B0EB1">
        <w:rPr>
          <w:b/>
          <w:bCs/>
          <w:i/>
          <w:sz w:val="28"/>
          <w:szCs w:val="28"/>
        </w:rPr>
        <w:t>Agenţia Naţională a Medicamentului</w:t>
      </w:r>
      <w:r w:rsidR="00C22879">
        <w:rPr>
          <w:bCs/>
          <w:sz w:val="28"/>
          <w:szCs w:val="28"/>
        </w:rPr>
        <w:t xml:space="preserve"> </w:t>
      </w:r>
      <w:r w:rsidR="00F64BE6">
        <w:rPr>
          <w:bCs/>
          <w:sz w:val="28"/>
          <w:szCs w:val="28"/>
        </w:rPr>
        <w:t>(cit04)</w:t>
      </w:r>
      <w:r w:rsidRPr="007B0EB1">
        <w:rPr>
          <w:bCs/>
          <w:sz w:val="28"/>
          <w:szCs w:val="28"/>
        </w:rPr>
        <w:t xml:space="preserve"> este instituţia care </w:t>
      </w:r>
      <w:r w:rsidRPr="007B0EB1">
        <w:rPr>
          <w:sz w:val="28"/>
          <w:szCs w:val="28"/>
        </w:rPr>
        <w:t xml:space="preserve">evaluează documentaţia de autorizare în vederea punerii pe piaţă a produselor medicamentoase şi supraveghează siguranţa acestora în circuitul terapeutic prin activitatea de inspecţie </w:t>
      </w:r>
      <w:r w:rsidR="007B0EB1" w:rsidRPr="007B0EB1">
        <w:rPr>
          <w:sz w:val="28"/>
          <w:szCs w:val="28"/>
        </w:rPr>
        <w:t>ş</w:t>
      </w:r>
      <w:r w:rsidRPr="007B0EB1">
        <w:rPr>
          <w:sz w:val="28"/>
          <w:szCs w:val="28"/>
        </w:rPr>
        <w:t xml:space="preserve">i </w:t>
      </w:r>
      <w:r w:rsidRPr="007B0EB1">
        <w:rPr>
          <w:sz w:val="28"/>
          <w:szCs w:val="28"/>
          <w:u w:val="single"/>
        </w:rPr>
        <w:t>farmacovigilenţă</w:t>
      </w:r>
      <w:r w:rsidRPr="007B0EB1">
        <w:rPr>
          <w:sz w:val="28"/>
          <w:szCs w:val="28"/>
        </w:rPr>
        <w:t>. P</w:t>
      </w:r>
      <w:r w:rsidRPr="007B0EB1">
        <w:rPr>
          <w:bCs/>
          <w:sz w:val="28"/>
          <w:szCs w:val="28"/>
        </w:rPr>
        <w:t xml:space="preserve">rin </w:t>
      </w:r>
      <w:r w:rsidRPr="007B0EB1">
        <w:rPr>
          <w:sz w:val="28"/>
          <w:szCs w:val="28"/>
        </w:rPr>
        <w:t>reglementările</w:t>
      </w:r>
      <w:r w:rsidRPr="007B0EB1">
        <w:rPr>
          <w:bCs/>
          <w:sz w:val="28"/>
          <w:szCs w:val="28"/>
        </w:rPr>
        <w:t xml:space="preserve"> privind activitatea în farmacovigilenţă, </w:t>
      </w:r>
      <w:r w:rsidRPr="007B0EB1">
        <w:rPr>
          <w:sz w:val="28"/>
          <w:szCs w:val="28"/>
        </w:rPr>
        <w:t xml:space="preserve">în acord cu prevederi ale </w:t>
      </w:r>
      <w:r w:rsidRPr="007B0EB1">
        <w:rPr>
          <w:b/>
          <w:i/>
          <w:sz w:val="28"/>
          <w:szCs w:val="28"/>
        </w:rPr>
        <w:t>Consiliului Europei</w:t>
      </w:r>
      <w:r w:rsidRPr="007B0EB1">
        <w:rPr>
          <w:sz w:val="28"/>
          <w:szCs w:val="28"/>
        </w:rPr>
        <w:t xml:space="preserve"> şi </w:t>
      </w:r>
      <w:r w:rsidRPr="007B0EB1">
        <w:rPr>
          <w:b/>
          <w:i/>
          <w:sz w:val="28"/>
          <w:szCs w:val="28"/>
        </w:rPr>
        <w:t>Organizaţia Mondială a Sănătăţii</w:t>
      </w:r>
      <w:r w:rsidRPr="007B0EB1">
        <w:rPr>
          <w:sz w:val="28"/>
          <w:szCs w:val="28"/>
        </w:rPr>
        <w:t>:</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b/>
          <w:i/>
          <w:sz w:val="28"/>
          <w:szCs w:val="28"/>
        </w:rPr>
        <w:t>Centrul Naţional de Farmacovigilenţă</w:t>
      </w:r>
      <w:r w:rsidRPr="007B0EB1">
        <w:rPr>
          <w:sz w:val="28"/>
          <w:szCs w:val="28"/>
        </w:rPr>
        <w:t>, organizat de Agenţia Naţională a Medicamentului, evaluează din punct de vedere ştiinţific informaţiile privind reacţiile adverse ale medicamentelor fabricate, pe care le corelează cu datele privind consumul produselor medicamentoase în teritoriu;</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 xml:space="preserve">Agenţia Naţională a Medicamentului raportează </w:t>
      </w:r>
      <w:r w:rsidRPr="007B0EB1">
        <w:rPr>
          <w:b/>
          <w:i/>
          <w:sz w:val="28"/>
          <w:szCs w:val="28"/>
        </w:rPr>
        <w:t>Agenţiei Europene de Evaluare a Produselor Medicamentoase</w:t>
      </w:r>
      <w:r w:rsidRPr="007B0EB1">
        <w:rPr>
          <w:sz w:val="28"/>
          <w:szCs w:val="28"/>
        </w:rPr>
        <w:t xml:space="preserve"> reacţiile adverse grave suspectate pentru produsele autorizate prin procedura centralizată şi respectiv deţinătorului autorizaţiei de punere pe piaţă a produsului medicamentos în cazul produselor autorizate prin procedura naţională;</w:t>
      </w:r>
    </w:p>
    <w:p w:rsidR="008E4155" w:rsidRPr="007B0EB1" w:rsidRDefault="008E4155" w:rsidP="008E4155">
      <w:pPr>
        <w:pStyle w:val="refCaracterCaracterCaracterCaracterCaracterCaracterCaracterCaracter"/>
        <w:numPr>
          <w:ilvl w:val="0"/>
          <w:numId w:val="1"/>
        </w:numPr>
        <w:tabs>
          <w:tab w:val="clear" w:pos="1287"/>
          <w:tab w:val="num" w:pos="900"/>
        </w:tabs>
        <w:ind w:left="0" w:firstLine="540"/>
        <w:rPr>
          <w:sz w:val="28"/>
          <w:szCs w:val="28"/>
        </w:rPr>
      </w:pPr>
      <w:r w:rsidRPr="007B0EB1">
        <w:rPr>
          <w:sz w:val="28"/>
          <w:szCs w:val="28"/>
        </w:rPr>
        <w:t>În situaţii de urgenţă, Agenţia Naţională a Medicamentului poate bloca distribuţia produsului medicamentos în cauză.</w:t>
      </w:r>
    </w:p>
    <w:p w:rsidR="007B0EB1" w:rsidRDefault="007B0EB1" w:rsidP="007B0EB1">
      <w:pPr>
        <w:pStyle w:val="refCaracterCaracterCaracterCaracterCaracterCaracterCaracterCaracter"/>
        <w:rPr>
          <w:sz w:val="28"/>
          <w:szCs w:val="28"/>
        </w:rPr>
      </w:pPr>
    </w:p>
    <w:p w:rsidR="007B0EB1" w:rsidRPr="007B0EB1" w:rsidRDefault="007B0EB1" w:rsidP="007B0EB1">
      <w:pPr>
        <w:pStyle w:val="refCaracterCaracterCaracterCaracterCaracterCaracterCaracterCaracter"/>
        <w:rPr>
          <w:sz w:val="28"/>
          <w:szCs w:val="28"/>
        </w:rPr>
      </w:pPr>
      <w:r w:rsidRPr="007B0EB1">
        <w:rPr>
          <w:sz w:val="28"/>
          <w:szCs w:val="28"/>
        </w:rPr>
        <w:t>Români</w:t>
      </w:r>
      <w:r w:rsidR="006A5545">
        <w:rPr>
          <w:sz w:val="28"/>
          <w:szCs w:val="28"/>
        </w:rPr>
        <w:t>a a aderat</w:t>
      </w:r>
      <w:r w:rsidRPr="007B0EB1">
        <w:rPr>
          <w:sz w:val="28"/>
          <w:szCs w:val="28"/>
        </w:rPr>
        <w:t xml:space="preserve"> la Convenţia privind elaborarea </w:t>
      </w:r>
      <w:r w:rsidRPr="007B0EB1">
        <w:rPr>
          <w:sz w:val="28"/>
          <w:szCs w:val="28"/>
          <w:u w:val="single"/>
        </w:rPr>
        <w:t>Farmacopeei</w:t>
      </w:r>
      <w:r w:rsidRPr="007B0EB1">
        <w:rPr>
          <w:sz w:val="28"/>
          <w:szCs w:val="28"/>
        </w:rPr>
        <w:t xml:space="preserve"> Europene la data de 24.09.2003 </w:t>
      </w:r>
      <w:r w:rsidR="00F64BE6">
        <w:rPr>
          <w:sz w:val="28"/>
          <w:szCs w:val="28"/>
        </w:rPr>
        <w:t>(cit02).</w:t>
      </w:r>
    </w:p>
    <w:p w:rsidR="007B0EB1" w:rsidRDefault="007B0EB1" w:rsidP="007B0EB1">
      <w:pPr>
        <w:pStyle w:val="refCaracterCaracterCaracterCaracterCaracterCaracterCaracterCaracter"/>
        <w:rPr>
          <w:sz w:val="28"/>
          <w:szCs w:val="28"/>
        </w:rPr>
      </w:pPr>
    </w:p>
    <w:p w:rsidR="007B0EB1" w:rsidRPr="007B0EB1" w:rsidRDefault="007B0EB1" w:rsidP="007B0EB1">
      <w:pPr>
        <w:pStyle w:val="refCaracterCaracterCaracterCaracterCaracterCaracterCaracterCaracter"/>
        <w:rPr>
          <w:sz w:val="28"/>
          <w:szCs w:val="28"/>
        </w:rPr>
      </w:pPr>
      <w:r w:rsidRPr="007B0EB1">
        <w:rPr>
          <w:sz w:val="28"/>
          <w:szCs w:val="28"/>
        </w:rPr>
        <w:lastRenderedPageBreak/>
        <w:t xml:space="preserve">De la 1 ianuarie 2004, în </w:t>
      </w:r>
      <w:r w:rsidR="00A95CB7">
        <w:rPr>
          <w:sz w:val="28"/>
          <w:szCs w:val="28"/>
        </w:rPr>
        <w:t>ind.</w:t>
      </w:r>
      <w:r w:rsidRPr="007B0EB1">
        <w:rPr>
          <w:sz w:val="28"/>
          <w:szCs w:val="28"/>
        </w:rPr>
        <w:t xml:space="preserve"> farmaceutică au fost introduse </w:t>
      </w:r>
      <w:r w:rsidRPr="007B0EB1">
        <w:rPr>
          <w:b/>
          <w:sz w:val="28"/>
          <w:szCs w:val="28"/>
        </w:rPr>
        <w:t xml:space="preserve">normele </w:t>
      </w:r>
      <w:r w:rsidRPr="007B0EB1">
        <w:rPr>
          <w:b/>
          <w:sz w:val="28"/>
          <w:szCs w:val="28"/>
          <w:u w:val="single"/>
        </w:rPr>
        <w:t>GMP</w:t>
      </w:r>
      <w:r w:rsidRPr="007B0EB1">
        <w:rPr>
          <w:sz w:val="28"/>
          <w:szCs w:val="28"/>
        </w:rPr>
        <w:t xml:space="preserve"> (</w:t>
      </w:r>
      <w:r w:rsidRPr="007B0EB1">
        <w:rPr>
          <w:i/>
          <w:sz w:val="28"/>
          <w:szCs w:val="28"/>
        </w:rPr>
        <w:t xml:space="preserve">Good Manufacturing Practices - </w:t>
      </w:r>
      <w:r w:rsidRPr="007B0EB1">
        <w:rPr>
          <w:sz w:val="28"/>
          <w:szCs w:val="28"/>
        </w:rPr>
        <w:t xml:space="preserve">normele de bună practică de fabricaţie), prin care se urmăreşte dezvoltarea industriei româneşti de medicamente la standarde internaţionale. Certificatul </w:t>
      </w:r>
      <w:r w:rsidRPr="007B0EB1">
        <w:rPr>
          <w:i/>
          <w:sz w:val="28"/>
          <w:szCs w:val="28"/>
        </w:rPr>
        <w:t>GMP</w:t>
      </w:r>
      <w:r w:rsidRPr="007B0EB1">
        <w:rPr>
          <w:sz w:val="28"/>
          <w:szCs w:val="28"/>
        </w:rPr>
        <w:t xml:space="preserve"> este obligatoriu atât pentru fabricarea medicamentelor, cât şi pentru operaţiunile de divizare, ambalare şi etichetare. Alte practici stabilite în domeniu, în afara normelor GMP/cGMP (</w:t>
      </w:r>
      <w:r w:rsidRPr="007B0EB1">
        <w:rPr>
          <w:i/>
          <w:sz w:val="28"/>
          <w:szCs w:val="28"/>
        </w:rPr>
        <w:t>Current GMP</w:t>
      </w:r>
      <w:r w:rsidRPr="007B0EB1">
        <w:rPr>
          <w:sz w:val="28"/>
          <w:szCs w:val="28"/>
        </w:rPr>
        <w:t>) sunt şi normele de bună practică pentru laboratoare (</w:t>
      </w:r>
      <w:r w:rsidRPr="007B0EB1">
        <w:rPr>
          <w:i/>
          <w:sz w:val="28"/>
          <w:szCs w:val="28"/>
        </w:rPr>
        <w:t>Good Laboratory Practices</w:t>
      </w:r>
      <w:r w:rsidRPr="007B0EB1">
        <w:rPr>
          <w:sz w:val="28"/>
          <w:szCs w:val="28"/>
        </w:rPr>
        <w:t xml:space="preserve"> - </w:t>
      </w:r>
      <w:r w:rsidRPr="007B0EB1">
        <w:rPr>
          <w:b/>
          <w:sz w:val="28"/>
          <w:szCs w:val="28"/>
        </w:rPr>
        <w:t>GLP</w:t>
      </w:r>
      <w:r w:rsidRPr="007B0EB1">
        <w:rPr>
          <w:sz w:val="28"/>
          <w:szCs w:val="28"/>
        </w:rPr>
        <w:t>) şi normele de bună practică clinică (</w:t>
      </w:r>
      <w:r w:rsidRPr="007B0EB1">
        <w:rPr>
          <w:i/>
          <w:sz w:val="28"/>
          <w:szCs w:val="28"/>
        </w:rPr>
        <w:t xml:space="preserve">Good Clinical Practices - </w:t>
      </w:r>
      <w:r w:rsidRPr="007B0EB1">
        <w:rPr>
          <w:b/>
          <w:sz w:val="28"/>
          <w:szCs w:val="28"/>
        </w:rPr>
        <w:t>GCP</w:t>
      </w:r>
      <w:r w:rsidRPr="007B0EB1">
        <w:rPr>
          <w:sz w:val="28"/>
          <w:szCs w:val="28"/>
        </w:rPr>
        <w:t>)</w:t>
      </w:r>
      <w:r w:rsidR="00F64BE6">
        <w:rPr>
          <w:sz w:val="28"/>
          <w:szCs w:val="28"/>
        </w:rPr>
        <w:t xml:space="preserve"> (cit03)</w:t>
      </w:r>
      <w:r w:rsidRPr="007B0EB1">
        <w:rPr>
          <w:sz w:val="28"/>
          <w:szCs w:val="28"/>
        </w:rPr>
        <w:t>.</w:t>
      </w:r>
    </w:p>
    <w:p w:rsidR="007B0EB1" w:rsidRDefault="007B0EB1" w:rsidP="007B0EB1">
      <w:pPr>
        <w:pStyle w:val="refCaracterCaracterCaracterCaracterCaracterCaracterCaracterCaracter"/>
        <w:rPr>
          <w:b/>
          <w:i/>
          <w:sz w:val="28"/>
          <w:szCs w:val="28"/>
        </w:rPr>
      </w:pPr>
    </w:p>
    <w:p w:rsidR="006A5545" w:rsidRDefault="006A5545" w:rsidP="006A5545">
      <w:pPr>
        <w:pStyle w:val="refCaracterCaracterCaracterCaracterCaracterCaracterCaracterCaracter"/>
        <w:rPr>
          <w:sz w:val="28"/>
          <w:szCs w:val="28"/>
        </w:rPr>
      </w:pPr>
      <w:r w:rsidRPr="007B0EB1">
        <w:rPr>
          <w:sz w:val="28"/>
          <w:szCs w:val="28"/>
        </w:rPr>
        <w:t xml:space="preserve">Prin aderarea </w:t>
      </w:r>
      <w:r>
        <w:rPr>
          <w:sz w:val="28"/>
          <w:szCs w:val="28"/>
        </w:rPr>
        <w:t xml:space="preserve">ţării noastre </w:t>
      </w:r>
      <w:r w:rsidRPr="007B0EB1">
        <w:rPr>
          <w:sz w:val="28"/>
          <w:szCs w:val="28"/>
        </w:rPr>
        <w:t xml:space="preserve">la Convenţia privind elaborarea </w:t>
      </w:r>
      <w:r w:rsidRPr="006A5545">
        <w:rPr>
          <w:sz w:val="28"/>
          <w:szCs w:val="28"/>
        </w:rPr>
        <w:t>Farmacopeei</w:t>
      </w:r>
      <w:r>
        <w:rPr>
          <w:sz w:val="28"/>
          <w:szCs w:val="28"/>
        </w:rPr>
        <w:t xml:space="preserve"> Europene</w:t>
      </w:r>
      <w:r w:rsidR="00F24831">
        <w:rPr>
          <w:sz w:val="28"/>
          <w:szCs w:val="28"/>
        </w:rPr>
        <w:t xml:space="preserve"> (vezi nota de la pagina )</w:t>
      </w:r>
      <w:r w:rsidRPr="007B0EB1">
        <w:rPr>
          <w:sz w:val="28"/>
          <w:szCs w:val="28"/>
        </w:rPr>
        <w:t>, standardele de calitate ale Farmacopeei Europene au devenit obligatorii pentru toate medicamentele de uz uman şi veterinar atât fabricate în România, cât şi importate</w:t>
      </w:r>
      <w:r>
        <w:rPr>
          <w:sz w:val="28"/>
          <w:szCs w:val="28"/>
        </w:rPr>
        <w:t xml:space="preserve">. </w:t>
      </w:r>
    </w:p>
    <w:p w:rsidR="00E76AF1" w:rsidRDefault="00E76AF1" w:rsidP="006A5545">
      <w:pPr>
        <w:pStyle w:val="refCaracterCaracterCaracterCaracterCaracterCaracterCaracterCaracter"/>
        <w:rPr>
          <w:sz w:val="28"/>
          <w:szCs w:val="28"/>
        </w:rPr>
      </w:pPr>
    </w:p>
    <w:p w:rsidR="00553126" w:rsidRPr="00553126" w:rsidRDefault="00553126" w:rsidP="00553126">
      <w:pPr>
        <w:pStyle w:val="refCaracterCaracterCaracterCaracterCaracterCaracterCaracterCaracter"/>
        <w:rPr>
          <w:sz w:val="28"/>
          <w:szCs w:val="28"/>
        </w:rPr>
      </w:pPr>
      <w:r w:rsidRPr="00553126">
        <w:rPr>
          <w:sz w:val="28"/>
          <w:szCs w:val="28"/>
        </w:rPr>
        <w:t xml:space="preserve">Tendinţele majore de urmărit în </w:t>
      </w:r>
      <w:r w:rsidR="00A95CB7">
        <w:rPr>
          <w:sz w:val="28"/>
          <w:szCs w:val="28"/>
        </w:rPr>
        <w:t>ind.</w:t>
      </w:r>
      <w:r w:rsidRPr="00553126">
        <w:rPr>
          <w:sz w:val="28"/>
          <w:szCs w:val="28"/>
        </w:rPr>
        <w:t xml:space="preserve"> farmaceutică sunt cele prezentate în tabelul 2 de la pagina .</w:t>
      </w:r>
    </w:p>
    <w:p w:rsidR="00553126" w:rsidRDefault="00553126" w:rsidP="006A5545">
      <w:pPr>
        <w:pStyle w:val="refCaracterCaracterCaracterCaracterCaracterCaracterCaracterCaracter"/>
        <w:rPr>
          <w:sz w:val="28"/>
          <w:szCs w:val="28"/>
        </w:rPr>
      </w:pPr>
    </w:p>
    <w:p w:rsidR="00CB36E1" w:rsidRDefault="00CB36E1" w:rsidP="00C4031E">
      <w:pPr>
        <w:pStyle w:val="refCaracterCaracterCaracterCaracterCaracterCaracterCaracterCaracter"/>
        <w:jc w:val="right"/>
        <w:rPr>
          <w:sz w:val="28"/>
          <w:szCs w:val="28"/>
        </w:rPr>
      </w:pPr>
    </w:p>
    <w:p w:rsidR="00CE42C3" w:rsidRDefault="00CE42C3" w:rsidP="00C4031E">
      <w:pPr>
        <w:pStyle w:val="refCaracterCaracterCaracterCaracterCaracterCaracterCaracterCaracter"/>
        <w:jc w:val="right"/>
        <w:rPr>
          <w:sz w:val="28"/>
          <w:szCs w:val="28"/>
        </w:rPr>
      </w:pPr>
      <w:r>
        <w:rPr>
          <w:sz w:val="28"/>
          <w:szCs w:val="28"/>
        </w:rPr>
        <w:t>Tabelul 1. Caracteristici ale industriei farmaceutice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7740"/>
      </w:tblGrid>
      <w:tr w:rsidR="00E76AF1" w:rsidRPr="00AF0505" w:rsidTr="00AF0505">
        <w:tc>
          <w:tcPr>
            <w:tcW w:w="1188" w:type="dxa"/>
          </w:tcPr>
          <w:p w:rsidR="00E76AF1" w:rsidRPr="00AF0505" w:rsidRDefault="00CE42C3" w:rsidP="00AF0505">
            <w:pPr>
              <w:pStyle w:val="refCaracterCaracterCaracterCaracterCaracterCaracterCaracterCaracter"/>
              <w:ind w:firstLine="0"/>
              <w:jc w:val="center"/>
              <w:rPr>
                <w:b/>
                <w:sz w:val="28"/>
                <w:szCs w:val="28"/>
              </w:rPr>
            </w:pPr>
            <w:r w:rsidRPr="00AF0505">
              <w:rPr>
                <w:b/>
                <w:sz w:val="28"/>
                <w:szCs w:val="28"/>
              </w:rPr>
              <w:t>Nr. crt.</w:t>
            </w:r>
          </w:p>
        </w:tc>
        <w:tc>
          <w:tcPr>
            <w:tcW w:w="7740" w:type="dxa"/>
          </w:tcPr>
          <w:p w:rsidR="00E76AF1" w:rsidRPr="00AF0505" w:rsidRDefault="00CE42C3" w:rsidP="00AF0505">
            <w:pPr>
              <w:pStyle w:val="refCaracterCaracterCaracterCaracterCaracterCaracterCaracterCaracter"/>
              <w:ind w:firstLine="0"/>
              <w:jc w:val="center"/>
              <w:rPr>
                <w:b/>
                <w:sz w:val="28"/>
                <w:szCs w:val="28"/>
              </w:rPr>
            </w:pPr>
            <w:r w:rsidRPr="00AF0505">
              <w:rPr>
                <w:b/>
                <w:sz w:val="28"/>
                <w:szCs w:val="28"/>
              </w:rPr>
              <w:t>Caracteri</w:t>
            </w:r>
            <w:r w:rsidR="002742D1" w:rsidRPr="00AF0505">
              <w:rPr>
                <w:b/>
                <w:sz w:val="28"/>
                <w:szCs w:val="28"/>
              </w:rPr>
              <w:t>s</w:t>
            </w:r>
            <w:r w:rsidRPr="00AF0505">
              <w:rPr>
                <w:b/>
                <w:sz w:val="28"/>
                <w:szCs w:val="28"/>
              </w:rPr>
              <w:t>tici</w:t>
            </w:r>
          </w:p>
        </w:tc>
      </w:tr>
      <w:tr w:rsidR="00E76AF1" w:rsidRPr="00AF0505" w:rsidTr="00AF0505">
        <w:tc>
          <w:tcPr>
            <w:tcW w:w="1188" w:type="dxa"/>
          </w:tcPr>
          <w:p w:rsidR="00E76AF1" w:rsidRPr="00AF0505" w:rsidRDefault="002742D1" w:rsidP="00AF0505">
            <w:pPr>
              <w:pStyle w:val="refCaracterCaracterCaracterCaracterCaracterCaracterCaracterCaracter"/>
              <w:ind w:firstLine="0"/>
              <w:jc w:val="center"/>
              <w:rPr>
                <w:sz w:val="28"/>
                <w:szCs w:val="28"/>
              </w:rPr>
            </w:pPr>
            <w:r w:rsidRPr="00AF0505">
              <w:rPr>
                <w:sz w:val="28"/>
                <w:szCs w:val="28"/>
              </w:rPr>
              <w:t>1</w:t>
            </w:r>
          </w:p>
        </w:tc>
        <w:tc>
          <w:tcPr>
            <w:tcW w:w="7740" w:type="dxa"/>
          </w:tcPr>
          <w:p w:rsidR="00E76AF1" w:rsidRPr="00AF0505" w:rsidRDefault="00E76AF1" w:rsidP="00AF0505">
            <w:pPr>
              <w:pStyle w:val="refCaracterCaracterCaracterCaracterCaracterCaracterCaracterCaracter"/>
              <w:ind w:firstLine="0"/>
              <w:rPr>
                <w:sz w:val="28"/>
                <w:szCs w:val="28"/>
              </w:rPr>
            </w:pPr>
            <w:r w:rsidRPr="00AF0505">
              <w:rPr>
                <w:sz w:val="28"/>
                <w:szCs w:val="28"/>
              </w:rPr>
              <w:t>necesitatea validării</w:t>
            </w:r>
          </w:p>
        </w:tc>
      </w:tr>
      <w:tr w:rsidR="00E76AF1" w:rsidRPr="00AF0505" w:rsidTr="00AF0505">
        <w:tc>
          <w:tcPr>
            <w:tcW w:w="1188" w:type="dxa"/>
          </w:tcPr>
          <w:p w:rsidR="00E76AF1" w:rsidRPr="00AF0505" w:rsidRDefault="002742D1" w:rsidP="00AF0505">
            <w:pPr>
              <w:pStyle w:val="refCaracterCaracterCaracterCaracterCaracterCaracterCaracterCaracter"/>
              <w:ind w:firstLine="0"/>
              <w:jc w:val="center"/>
              <w:rPr>
                <w:sz w:val="28"/>
                <w:szCs w:val="28"/>
              </w:rPr>
            </w:pPr>
            <w:r w:rsidRPr="00AF0505">
              <w:rPr>
                <w:sz w:val="28"/>
                <w:szCs w:val="28"/>
              </w:rPr>
              <w:t>2</w:t>
            </w:r>
          </w:p>
        </w:tc>
        <w:tc>
          <w:tcPr>
            <w:tcW w:w="7740" w:type="dxa"/>
          </w:tcPr>
          <w:p w:rsidR="00E76AF1" w:rsidRPr="00AF0505" w:rsidRDefault="00E76AF1" w:rsidP="00AF0505">
            <w:pPr>
              <w:pStyle w:val="refCaracterCaracterCaracterCaracterCaracterCaracterCaracterCaracter"/>
              <w:ind w:firstLine="0"/>
              <w:rPr>
                <w:sz w:val="28"/>
                <w:szCs w:val="28"/>
              </w:rPr>
            </w:pPr>
            <w:r w:rsidRPr="00AF0505">
              <w:rPr>
                <w:sz w:val="28"/>
                <w:szCs w:val="28"/>
              </w:rPr>
              <w:t>aspectul critic al exclusivităţii medicamentelor</w:t>
            </w:r>
          </w:p>
        </w:tc>
      </w:tr>
      <w:tr w:rsidR="00E76AF1" w:rsidRPr="00AF0505" w:rsidTr="00AF0505">
        <w:tc>
          <w:tcPr>
            <w:tcW w:w="1188" w:type="dxa"/>
          </w:tcPr>
          <w:p w:rsidR="00E76AF1" w:rsidRPr="00AF0505" w:rsidRDefault="002742D1" w:rsidP="00AF0505">
            <w:pPr>
              <w:pStyle w:val="refCaracterCaracterCaracterCaracterCaracterCaracterCaracterCaracter"/>
              <w:ind w:firstLine="0"/>
              <w:jc w:val="center"/>
              <w:rPr>
                <w:sz w:val="28"/>
                <w:szCs w:val="28"/>
              </w:rPr>
            </w:pPr>
            <w:r w:rsidRPr="00AF0505">
              <w:rPr>
                <w:sz w:val="28"/>
                <w:szCs w:val="28"/>
              </w:rPr>
              <w:t>3</w:t>
            </w:r>
          </w:p>
        </w:tc>
        <w:tc>
          <w:tcPr>
            <w:tcW w:w="7740" w:type="dxa"/>
          </w:tcPr>
          <w:p w:rsidR="00E76AF1" w:rsidRPr="00AF0505" w:rsidRDefault="00E76AF1" w:rsidP="00AF0505">
            <w:pPr>
              <w:pStyle w:val="refCaracterCaracterCaracterCaracterCaracterCaracterCaracterCaracter"/>
              <w:ind w:firstLine="0"/>
              <w:rPr>
                <w:sz w:val="28"/>
                <w:szCs w:val="28"/>
              </w:rPr>
            </w:pPr>
            <w:r w:rsidRPr="00AF0505">
              <w:rPr>
                <w:sz w:val="28"/>
                <w:szCs w:val="28"/>
              </w:rPr>
              <w:t>integrarea strictă a controlului pentru testare şi asigurarea calităţii</w:t>
            </w:r>
          </w:p>
        </w:tc>
      </w:tr>
      <w:tr w:rsidR="00E76AF1" w:rsidRPr="00AF0505" w:rsidTr="00AF0505">
        <w:tc>
          <w:tcPr>
            <w:tcW w:w="1188" w:type="dxa"/>
          </w:tcPr>
          <w:p w:rsidR="00E76AF1" w:rsidRPr="00AF0505" w:rsidRDefault="002742D1" w:rsidP="00AF0505">
            <w:pPr>
              <w:pStyle w:val="refCaracterCaracterCaracterCaracterCaracterCaracterCaracterCaracter"/>
              <w:ind w:firstLine="0"/>
              <w:jc w:val="center"/>
              <w:rPr>
                <w:sz w:val="28"/>
                <w:szCs w:val="28"/>
              </w:rPr>
            </w:pPr>
            <w:r w:rsidRPr="00AF0505">
              <w:rPr>
                <w:sz w:val="28"/>
                <w:szCs w:val="28"/>
              </w:rPr>
              <w:t>4</w:t>
            </w:r>
          </w:p>
        </w:tc>
        <w:tc>
          <w:tcPr>
            <w:tcW w:w="7740" w:type="dxa"/>
          </w:tcPr>
          <w:p w:rsidR="00E76AF1" w:rsidRPr="00AF0505" w:rsidRDefault="00E76AF1" w:rsidP="00AF0505">
            <w:pPr>
              <w:pStyle w:val="refCaracterCaracterCaracterCaracterCaracterCaracterCaracterCaracter"/>
              <w:ind w:firstLine="0"/>
              <w:rPr>
                <w:sz w:val="28"/>
                <w:szCs w:val="28"/>
              </w:rPr>
            </w:pPr>
            <w:r w:rsidRPr="00AF0505">
              <w:rPr>
                <w:sz w:val="28"/>
                <w:szCs w:val="28"/>
              </w:rPr>
              <w:t>diversitatea formelor de condiţionare şi ambalare</w:t>
            </w:r>
          </w:p>
        </w:tc>
      </w:tr>
      <w:tr w:rsidR="00E76AF1" w:rsidRPr="00AF0505" w:rsidTr="00AF0505">
        <w:tc>
          <w:tcPr>
            <w:tcW w:w="1188" w:type="dxa"/>
          </w:tcPr>
          <w:p w:rsidR="00E76AF1" w:rsidRPr="00AF0505" w:rsidRDefault="002742D1" w:rsidP="00AF0505">
            <w:pPr>
              <w:pStyle w:val="refCaracterCaracterCaracterCaracterCaracterCaracterCaracterCaracter"/>
              <w:ind w:firstLine="0"/>
              <w:jc w:val="center"/>
              <w:rPr>
                <w:sz w:val="28"/>
                <w:szCs w:val="28"/>
              </w:rPr>
            </w:pPr>
            <w:r w:rsidRPr="00AF0505">
              <w:rPr>
                <w:sz w:val="28"/>
                <w:szCs w:val="28"/>
              </w:rPr>
              <w:t>5</w:t>
            </w:r>
          </w:p>
        </w:tc>
        <w:tc>
          <w:tcPr>
            <w:tcW w:w="7740" w:type="dxa"/>
          </w:tcPr>
          <w:p w:rsidR="00E76AF1" w:rsidRPr="00AF0505" w:rsidRDefault="00E76AF1" w:rsidP="00AF0505">
            <w:pPr>
              <w:pStyle w:val="refCaracterCaracterCaracterCaracterCaracterCaracterCaracterCaracter"/>
              <w:ind w:firstLine="0"/>
              <w:rPr>
                <w:sz w:val="28"/>
                <w:szCs w:val="28"/>
              </w:rPr>
            </w:pPr>
            <w:r w:rsidRPr="00AF0505">
              <w:rPr>
                <w:sz w:val="28"/>
                <w:szCs w:val="28"/>
              </w:rPr>
              <w:t>durata mare şi costurile mari ale cercetării</w:t>
            </w:r>
          </w:p>
        </w:tc>
      </w:tr>
      <w:tr w:rsidR="00E76AF1" w:rsidRPr="00AF0505" w:rsidTr="00AF0505">
        <w:tc>
          <w:tcPr>
            <w:tcW w:w="1188" w:type="dxa"/>
          </w:tcPr>
          <w:p w:rsidR="00E76AF1" w:rsidRPr="00AF0505" w:rsidRDefault="002742D1" w:rsidP="00AF0505">
            <w:pPr>
              <w:pStyle w:val="refCaracterCaracterCaracterCaracterCaracterCaracterCaracterCaracter"/>
              <w:ind w:firstLine="0"/>
              <w:jc w:val="center"/>
              <w:rPr>
                <w:sz w:val="28"/>
                <w:szCs w:val="28"/>
              </w:rPr>
            </w:pPr>
            <w:r w:rsidRPr="00AF0505">
              <w:rPr>
                <w:sz w:val="28"/>
                <w:szCs w:val="28"/>
              </w:rPr>
              <w:t>6</w:t>
            </w:r>
          </w:p>
        </w:tc>
        <w:tc>
          <w:tcPr>
            <w:tcW w:w="7740" w:type="dxa"/>
          </w:tcPr>
          <w:p w:rsidR="00E76AF1" w:rsidRPr="00AF0505" w:rsidRDefault="00E76AF1" w:rsidP="00AF0505">
            <w:pPr>
              <w:pStyle w:val="refCaracterCaracterCaracterCaracterCaracterCaracterCaracterCaracter"/>
              <w:ind w:firstLine="0"/>
              <w:rPr>
                <w:sz w:val="28"/>
                <w:szCs w:val="28"/>
              </w:rPr>
            </w:pPr>
            <w:r w:rsidRPr="00AF0505">
              <w:rPr>
                <w:sz w:val="28"/>
                <w:szCs w:val="28"/>
              </w:rPr>
              <w:t>necesitatea încercărilor clinice</w:t>
            </w:r>
          </w:p>
        </w:tc>
      </w:tr>
      <w:tr w:rsidR="00E76AF1" w:rsidRPr="00AF0505" w:rsidTr="00AF0505">
        <w:tc>
          <w:tcPr>
            <w:tcW w:w="1188" w:type="dxa"/>
          </w:tcPr>
          <w:p w:rsidR="00E76AF1" w:rsidRPr="00AF0505" w:rsidRDefault="002742D1" w:rsidP="00AF0505">
            <w:pPr>
              <w:pStyle w:val="refCaracterCaracterCaracterCaracterCaracterCaracterCaracterCaracter"/>
              <w:ind w:firstLine="0"/>
              <w:jc w:val="center"/>
              <w:rPr>
                <w:sz w:val="28"/>
                <w:szCs w:val="28"/>
              </w:rPr>
            </w:pPr>
            <w:r w:rsidRPr="00AF0505">
              <w:rPr>
                <w:sz w:val="28"/>
                <w:szCs w:val="28"/>
              </w:rPr>
              <w:t>7</w:t>
            </w:r>
          </w:p>
        </w:tc>
        <w:tc>
          <w:tcPr>
            <w:tcW w:w="7740" w:type="dxa"/>
          </w:tcPr>
          <w:p w:rsidR="00E76AF1" w:rsidRPr="00AF0505" w:rsidRDefault="00E76AF1" w:rsidP="00AF0505">
            <w:pPr>
              <w:pStyle w:val="refCaracterCaracterCaracterCaracterCaracterCaracterCaracterCaracter"/>
              <w:ind w:firstLine="0"/>
              <w:rPr>
                <w:sz w:val="28"/>
                <w:szCs w:val="28"/>
              </w:rPr>
            </w:pPr>
            <w:r w:rsidRPr="00AF0505">
              <w:rPr>
                <w:sz w:val="28"/>
                <w:szCs w:val="28"/>
              </w:rPr>
              <w:t>imposibilitatea amestecării materialelor diferite în camerele de stocare</w:t>
            </w:r>
          </w:p>
        </w:tc>
      </w:tr>
      <w:tr w:rsidR="002742D1" w:rsidRPr="00AF0505" w:rsidTr="00AF0505">
        <w:tc>
          <w:tcPr>
            <w:tcW w:w="1188" w:type="dxa"/>
          </w:tcPr>
          <w:p w:rsidR="002742D1" w:rsidRPr="00AF0505" w:rsidRDefault="002742D1" w:rsidP="00AF0505">
            <w:pPr>
              <w:pStyle w:val="refCaracterCaracterCaracterCaracterCaracterCaracterCaracterCaracter"/>
              <w:ind w:firstLine="0"/>
              <w:jc w:val="center"/>
              <w:rPr>
                <w:sz w:val="28"/>
                <w:szCs w:val="28"/>
              </w:rPr>
            </w:pPr>
            <w:r w:rsidRPr="00AF0505">
              <w:rPr>
                <w:sz w:val="28"/>
                <w:szCs w:val="28"/>
              </w:rPr>
              <w:t>8</w:t>
            </w:r>
          </w:p>
        </w:tc>
        <w:tc>
          <w:tcPr>
            <w:tcW w:w="7740" w:type="dxa"/>
          </w:tcPr>
          <w:p w:rsidR="002742D1" w:rsidRPr="00AF0505" w:rsidRDefault="002742D1" w:rsidP="00AF0505">
            <w:pPr>
              <w:pStyle w:val="refCaracterCaracterCaracterCaracterCaracterCaracterCaracterCaracter"/>
              <w:ind w:firstLine="0"/>
              <w:rPr>
                <w:sz w:val="28"/>
                <w:szCs w:val="28"/>
              </w:rPr>
            </w:pPr>
            <w:r w:rsidRPr="00AF0505">
              <w:rPr>
                <w:sz w:val="28"/>
                <w:szCs w:val="28"/>
              </w:rPr>
              <w:t>planificări globale</w:t>
            </w:r>
          </w:p>
        </w:tc>
      </w:tr>
      <w:tr w:rsidR="002742D1" w:rsidRPr="00AF0505" w:rsidTr="00AF0505">
        <w:tc>
          <w:tcPr>
            <w:tcW w:w="1188" w:type="dxa"/>
          </w:tcPr>
          <w:p w:rsidR="002742D1" w:rsidRPr="00AF0505" w:rsidRDefault="002742D1" w:rsidP="00AF0505">
            <w:pPr>
              <w:pStyle w:val="refCaracterCaracterCaracterCaracterCaracterCaracterCaracterCaracter"/>
              <w:ind w:firstLine="0"/>
              <w:jc w:val="center"/>
              <w:rPr>
                <w:sz w:val="28"/>
                <w:szCs w:val="28"/>
              </w:rPr>
            </w:pPr>
            <w:r w:rsidRPr="00AF0505">
              <w:rPr>
                <w:sz w:val="28"/>
                <w:szCs w:val="28"/>
              </w:rPr>
              <w:t>9</w:t>
            </w:r>
          </w:p>
        </w:tc>
        <w:tc>
          <w:tcPr>
            <w:tcW w:w="7740" w:type="dxa"/>
          </w:tcPr>
          <w:p w:rsidR="002742D1" w:rsidRPr="00AF0505" w:rsidRDefault="002742D1" w:rsidP="00AF0505">
            <w:pPr>
              <w:pStyle w:val="refCaracterCaracterCaracterCaracterCaracterCaracterCaracterCaracter"/>
              <w:ind w:firstLine="0"/>
              <w:rPr>
                <w:sz w:val="28"/>
                <w:szCs w:val="28"/>
              </w:rPr>
            </w:pPr>
            <w:r w:rsidRPr="00AF0505">
              <w:rPr>
                <w:sz w:val="28"/>
                <w:szCs w:val="28"/>
              </w:rPr>
              <w:t>previziunile cu privire la cerere</w:t>
            </w:r>
          </w:p>
        </w:tc>
      </w:tr>
      <w:tr w:rsidR="002742D1" w:rsidRPr="00AF0505" w:rsidTr="00AF0505">
        <w:tc>
          <w:tcPr>
            <w:tcW w:w="1188" w:type="dxa"/>
          </w:tcPr>
          <w:p w:rsidR="002742D1" w:rsidRPr="00AF0505" w:rsidRDefault="002742D1" w:rsidP="00AF0505">
            <w:pPr>
              <w:pStyle w:val="refCaracterCaracterCaracterCaracterCaracterCaracterCaracterCaracter"/>
              <w:ind w:firstLine="0"/>
              <w:jc w:val="center"/>
              <w:rPr>
                <w:sz w:val="28"/>
                <w:szCs w:val="28"/>
              </w:rPr>
            </w:pPr>
            <w:r w:rsidRPr="00AF0505">
              <w:rPr>
                <w:sz w:val="28"/>
                <w:szCs w:val="28"/>
              </w:rPr>
              <w:t>10</w:t>
            </w:r>
          </w:p>
        </w:tc>
        <w:tc>
          <w:tcPr>
            <w:tcW w:w="7740" w:type="dxa"/>
          </w:tcPr>
          <w:p w:rsidR="002742D1" w:rsidRPr="00AF0505" w:rsidRDefault="002742D1" w:rsidP="00AF0505">
            <w:pPr>
              <w:pStyle w:val="refCaracterCaracterCaracterCaracterCaracterCaracterCaracterCaracter"/>
              <w:ind w:firstLine="0"/>
              <w:rPr>
                <w:sz w:val="28"/>
                <w:szCs w:val="28"/>
              </w:rPr>
            </w:pPr>
            <w:r w:rsidRPr="00AF0505">
              <w:rPr>
                <w:sz w:val="28"/>
                <w:szCs w:val="28"/>
              </w:rPr>
              <w:t>nivel ridicat de rigoare</w:t>
            </w:r>
          </w:p>
        </w:tc>
      </w:tr>
      <w:tr w:rsidR="002742D1" w:rsidRPr="00AF0505" w:rsidTr="00AF0505">
        <w:tc>
          <w:tcPr>
            <w:tcW w:w="1188" w:type="dxa"/>
          </w:tcPr>
          <w:p w:rsidR="002742D1" w:rsidRPr="00AF0505" w:rsidRDefault="002742D1" w:rsidP="00AF0505">
            <w:pPr>
              <w:pStyle w:val="refCaracterCaracterCaracterCaracterCaracterCaracterCaracterCaracter"/>
              <w:ind w:firstLine="0"/>
              <w:jc w:val="center"/>
              <w:rPr>
                <w:sz w:val="28"/>
                <w:szCs w:val="28"/>
              </w:rPr>
            </w:pPr>
            <w:r w:rsidRPr="00AF0505">
              <w:rPr>
                <w:sz w:val="28"/>
                <w:szCs w:val="28"/>
              </w:rPr>
              <w:t>11</w:t>
            </w:r>
          </w:p>
        </w:tc>
        <w:tc>
          <w:tcPr>
            <w:tcW w:w="7740" w:type="dxa"/>
          </w:tcPr>
          <w:p w:rsidR="002742D1" w:rsidRPr="00AF0505" w:rsidRDefault="002742D1" w:rsidP="00AF0505">
            <w:pPr>
              <w:pStyle w:val="refCaracterCaracterCaracterCaracterCaracterCaracterCaracterCaracter"/>
              <w:ind w:firstLine="0"/>
              <w:rPr>
                <w:sz w:val="28"/>
                <w:szCs w:val="28"/>
              </w:rPr>
            </w:pPr>
            <w:r w:rsidRPr="00AF0505">
              <w:rPr>
                <w:sz w:val="28"/>
                <w:szCs w:val="28"/>
              </w:rPr>
              <w:t>reglementările privind calitatea</w:t>
            </w:r>
          </w:p>
        </w:tc>
      </w:tr>
    </w:tbl>
    <w:p w:rsidR="00DD7DDF" w:rsidRDefault="00DD7DDF" w:rsidP="00553126">
      <w:pPr>
        <w:pStyle w:val="refCaracterCaracterCaracterCaracterCaracterCaracterCaracterCaracter"/>
        <w:jc w:val="right"/>
        <w:rPr>
          <w:sz w:val="28"/>
          <w:szCs w:val="28"/>
        </w:rPr>
      </w:pPr>
    </w:p>
    <w:p w:rsidR="00553126" w:rsidRDefault="00553126" w:rsidP="00553126">
      <w:pPr>
        <w:pStyle w:val="refCaracterCaracterCaracterCaracterCaracterCaracterCaracterCaracter"/>
        <w:jc w:val="right"/>
        <w:rPr>
          <w:sz w:val="28"/>
          <w:szCs w:val="28"/>
        </w:rPr>
      </w:pPr>
      <w:r>
        <w:rPr>
          <w:sz w:val="28"/>
          <w:szCs w:val="28"/>
        </w:rPr>
        <w:t xml:space="preserve">Tabelul 2. </w:t>
      </w:r>
      <w:r w:rsidRPr="00553126">
        <w:rPr>
          <w:sz w:val="28"/>
          <w:szCs w:val="28"/>
        </w:rPr>
        <w:t xml:space="preserve">Tendinţele majore </w:t>
      </w:r>
      <w:r>
        <w:rPr>
          <w:sz w:val="28"/>
          <w:szCs w:val="28"/>
        </w:rPr>
        <w:t xml:space="preserve">în </w:t>
      </w:r>
      <w:r w:rsidR="00A95CB7">
        <w:rPr>
          <w:sz w:val="28"/>
          <w:szCs w:val="28"/>
        </w:rPr>
        <w:t>ind.</w:t>
      </w:r>
      <w:r>
        <w:rPr>
          <w:sz w:val="28"/>
          <w:szCs w:val="28"/>
        </w:rPr>
        <w:t xml:space="preserve"> farmaceutică</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7740"/>
      </w:tblGrid>
      <w:tr w:rsidR="00553126" w:rsidRPr="00AF0505" w:rsidTr="00AF0505">
        <w:tc>
          <w:tcPr>
            <w:tcW w:w="1188" w:type="dxa"/>
          </w:tcPr>
          <w:p w:rsidR="00553126" w:rsidRPr="00AF0505" w:rsidRDefault="00553126" w:rsidP="00AF0505">
            <w:pPr>
              <w:pStyle w:val="refCaracterCaracterCaracterCaracterCaracterCaracterCaracterCaracter"/>
              <w:ind w:firstLine="0"/>
              <w:jc w:val="center"/>
              <w:rPr>
                <w:b/>
                <w:sz w:val="28"/>
                <w:szCs w:val="28"/>
              </w:rPr>
            </w:pPr>
            <w:r w:rsidRPr="00AF0505">
              <w:rPr>
                <w:b/>
                <w:sz w:val="28"/>
                <w:szCs w:val="28"/>
              </w:rPr>
              <w:t>Nr. crt.</w:t>
            </w:r>
          </w:p>
        </w:tc>
        <w:tc>
          <w:tcPr>
            <w:tcW w:w="7740" w:type="dxa"/>
          </w:tcPr>
          <w:p w:rsidR="00553126" w:rsidRPr="00AF0505" w:rsidRDefault="00553126" w:rsidP="00AF0505">
            <w:pPr>
              <w:pStyle w:val="refCaracterCaracterCaracterCaracterCaracterCaracterCaracterCaracter"/>
              <w:ind w:firstLine="0"/>
              <w:jc w:val="center"/>
              <w:rPr>
                <w:b/>
                <w:sz w:val="28"/>
                <w:szCs w:val="28"/>
              </w:rPr>
            </w:pPr>
            <w:r w:rsidRPr="00AF0505">
              <w:rPr>
                <w:b/>
                <w:sz w:val="28"/>
                <w:szCs w:val="28"/>
              </w:rPr>
              <w:t>Tendinţe</w:t>
            </w:r>
          </w:p>
        </w:tc>
      </w:tr>
      <w:tr w:rsidR="00553126" w:rsidRPr="00AF0505" w:rsidTr="00AF0505">
        <w:tc>
          <w:tcPr>
            <w:tcW w:w="1188" w:type="dxa"/>
          </w:tcPr>
          <w:p w:rsidR="00553126" w:rsidRPr="00AF0505" w:rsidRDefault="00553126" w:rsidP="00AF0505">
            <w:pPr>
              <w:pStyle w:val="refCaracterCaracterCaracterCaracterCaracterCaracterCaracterCaracter"/>
              <w:ind w:firstLine="0"/>
              <w:jc w:val="center"/>
              <w:rPr>
                <w:sz w:val="28"/>
                <w:szCs w:val="28"/>
              </w:rPr>
            </w:pPr>
            <w:r w:rsidRPr="00AF0505">
              <w:rPr>
                <w:sz w:val="28"/>
                <w:szCs w:val="28"/>
              </w:rPr>
              <w:t>1</w:t>
            </w:r>
          </w:p>
        </w:tc>
        <w:tc>
          <w:tcPr>
            <w:tcW w:w="7740" w:type="dxa"/>
          </w:tcPr>
          <w:p w:rsidR="00553126" w:rsidRPr="00AF0505" w:rsidRDefault="00553126" w:rsidP="00AF0505">
            <w:pPr>
              <w:pStyle w:val="refCaracterCaracterCaracterCaracterCaracterCaracterCaracterCaracter"/>
              <w:ind w:firstLine="0"/>
              <w:rPr>
                <w:sz w:val="28"/>
                <w:szCs w:val="28"/>
              </w:rPr>
            </w:pPr>
            <w:r w:rsidRPr="00AF0505">
              <w:rPr>
                <w:sz w:val="28"/>
                <w:szCs w:val="28"/>
              </w:rPr>
              <w:t>menţinerea asigurării calităţii simultan cu păstrarea conformităţii;</w:t>
            </w:r>
          </w:p>
        </w:tc>
      </w:tr>
      <w:tr w:rsidR="00553126" w:rsidRPr="00AF0505" w:rsidTr="00AF0505">
        <w:tc>
          <w:tcPr>
            <w:tcW w:w="1188" w:type="dxa"/>
          </w:tcPr>
          <w:p w:rsidR="00553126" w:rsidRPr="00AF0505" w:rsidRDefault="00553126" w:rsidP="00AF0505">
            <w:pPr>
              <w:pStyle w:val="refCaracterCaracterCaracterCaracterCaracterCaracterCaracterCaracter"/>
              <w:ind w:firstLine="0"/>
              <w:jc w:val="center"/>
              <w:rPr>
                <w:sz w:val="28"/>
                <w:szCs w:val="28"/>
              </w:rPr>
            </w:pPr>
            <w:r w:rsidRPr="00AF0505">
              <w:rPr>
                <w:sz w:val="28"/>
                <w:szCs w:val="28"/>
              </w:rPr>
              <w:t>2</w:t>
            </w:r>
          </w:p>
        </w:tc>
        <w:tc>
          <w:tcPr>
            <w:tcW w:w="7740" w:type="dxa"/>
          </w:tcPr>
          <w:p w:rsidR="00553126" w:rsidRPr="00AF0505" w:rsidRDefault="00553126" w:rsidP="00AF0505">
            <w:pPr>
              <w:pStyle w:val="refCaracterCaracterCaracterCaracterCaracterCaracterCaracterCaracter"/>
              <w:ind w:firstLine="0"/>
              <w:rPr>
                <w:sz w:val="28"/>
                <w:szCs w:val="28"/>
              </w:rPr>
            </w:pPr>
            <w:r w:rsidRPr="00AF0505">
              <w:rPr>
                <w:sz w:val="28"/>
                <w:szCs w:val="28"/>
              </w:rPr>
              <w:t>fluidizarea proceselor în condiţii de presiune crescută a pieţei;</w:t>
            </w:r>
          </w:p>
        </w:tc>
      </w:tr>
      <w:tr w:rsidR="00553126" w:rsidRPr="00AF0505" w:rsidTr="00AF0505">
        <w:tc>
          <w:tcPr>
            <w:tcW w:w="1188" w:type="dxa"/>
          </w:tcPr>
          <w:p w:rsidR="00553126" w:rsidRPr="00AF0505" w:rsidRDefault="00553126" w:rsidP="00AF0505">
            <w:pPr>
              <w:pStyle w:val="refCaracterCaracterCaracterCaracterCaracterCaracterCaracterCaracter"/>
              <w:ind w:firstLine="0"/>
              <w:jc w:val="center"/>
              <w:rPr>
                <w:sz w:val="28"/>
                <w:szCs w:val="28"/>
              </w:rPr>
            </w:pPr>
            <w:r w:rsidRPr="00AF0505">
              <w:rPr>
                <w:sz w:val="28"/>
                <w:szCs w:val="28"/>
              </w:rPr>
              <w:t>3</w:t>
            </w:r>
          </w:p>
        </w:tc>
        <w:tc>
          <w:tcPr>
            <w:tcW w:w="7740" w:type="dxa"/>
          </w:tcPr>
          <w:p w:rsidR="00553126" w:rsidRPr="00AF0505" w:rsidRDefault="00553126" w:rsidP="00AF0505">
            <w:pPr>
              <w:pStyle w:val="refCaracterCaracterCaracterCaracterCaracterCaracterCaracterCaracter"/>
              <w:ind w:firstLine="0"/>
              <w:rPr>
                <w:sz w:val="28"/>
                <w:szCs w:val="28"/>
              </w:rPr>
            </w:pPr>
            <w:r w:rsidRPr="00AF0505">
              <w:rPr>
                <w:sz w:val="28"/>
                <w:szCs w:val="28"/>
              </w:rPr>
              <w:t>dezvoltarea unui plan holisic al activităţii, care implică o planificare strategică;</w:t>
            </w:r>
          </w:p>
        </w:tc>
      </w:tr>
      <w:tr w:rsidR="00553126" w:rsidRPr="00AF0505" w:rsidTr="00AF0505">
        <w:tc>
          <w:tcPr>
            <w:tcW w:w="1188" w:type="dxa"/>
          </w:tcPr>
          <w:p w:rsidR="00553126" w:rsidRPr="00AF0505" w:rsidRDefault="00553126" w:rsidP="00AF0505">
            <w:pPr>
              <w:pStyle w:val="refCaracterCaracterCaracterCaracterCaracterCaracterCaracterCaracter"/>
              <w:ind w:firstLine="0"/>
              <w:jc w:val="center"/>
              <w:rPr>
                <w:sz w:val="28"/>
                <w:szCs w:val="28"/>
              </w:rPr>
            </w:pPr>
            <w:r w:rsidRPr="00AF0505">
              <w:rPr>
                <w:sz w:val="28"/>
                <w:szCs w:val="28"/>
              </w:rPr>
              <w:t>4</w:t>
            </w:r>
          </w:p>
        </w:tc>
        <w:tc>
          <w:tcPr>
            <w:tcW w:w="7740" w:type="dxa"/>
          </w:tcPr>
          <w:p w:rsidR="00553126" w:rsidRPr="00AF0505" w:rsidRDefault="00553126" w:rsidP="00AF0505">
            <w:pPr>
              <w:pStyle w:val="refCaracterCaracterCaracterCaracterCaracterCaracterCaracterCaracter"/>
              <w:ind w:firstLine="0"/>
              <w:rPr>
                <w:sz w:val="28"/>
                <w:szCs w:val="28"/>
              </w:rPr>
            </w:pPr>
            <w:r w:rsidRPr="00AF0505">
              <w:rPr>
                <w:sz w:val="28"/>
                <w:szCs w:val="28"/>
              </w:rPr>
              <w:t>coordonarea judicioasă a operaţiilor, duratelor şi flexibilităţilor care diferă;</w:t>
            </w:r>
          </w:p>
        </w:tc>
      </w:tr>
      <w:tr w:rsidR="00553126" w:rsidRPr="00AF0505" w:rsidTr="00AF0505">
        <w:tc>
          <w:tcPr>
            <w:tcW w:w="1188" w:type="dxa"/>
          </w:tcPr>
          <w:p w:rsidR="00553126" w:rsidRPr="00AF0505" w:rsidRDefault="00553126" w:rsidP="00AF0505">
            <w:pPr>
              <w:pStyle w:val="refCaracterCaracterCaracterCaracterCaracterCaracterCaracterCaracter"/>
              <w:ind w:firstLine="0"/>
              <w:jc w:val="center"/>
              <w:rPr>
                <w:sz w:val="28"/>
                <w:szCs w:val="28"/>
              </w:rPr>
            </w:pPr>
            <w:r w:rsidRPr="00AF0505">
              <w:rPr>
                <w:sz w:val="28"/>
                <w:szCs w:val="28"/>
              </w:rPr>
              <w:t>5</w:t>
            </w:r>
          </w:p>
        </w:tc>
        <w:tc>
          <w:tcPr>
            <w:tcW w:w="7740" w:type="dxa"/>
          </w:tcPr>
          <w:p w:rsidR="00553126" w:rsidRPr="00AF0505" w:rsidRDefault="00553126" w:rsidP="00AF0505">
            <w:pPr>
              <w:pStyle w:val="refCaracterCaracterCaracterCaracterCaracterCaracterCaracterCaracter"/>
              <w:ind w:firstLine="0"/>
              <w:rPr>
                <w:sz w:val="28"/>
                <w:szCs w:val="28"/>
              </w:rPr>
            </w:pPr>
            <w:r w:rsidRPr="00AF0505">
              <w:rPr>
                <w:sz w:val="28"/>
                <w:szCs w:val="28"/>
              </w:rPr>
              <w:t xml:space="preserve">considerarea unor termene mai scurte pentru planificare - </w:t>
            </w:r>
            <w:r w:rsidRPr="00AF0505">
              <w:rPr>
                <w:sz w:val="28"/>
                <w:szCs w:val="28"/>
              </w:rPr>
              <w:lastRenderedPageBreak/>
              <w:t>săptămână, lună;</w:t>
            </w:r>
          </w:p>
        </w:tc>
      </w:tr>
      <w:tr w:rsidR="00553126" w:rsidRPr="00AF0505" w:rsidTr="00AF0505">
        <w:tc>
          <w:tcPr>
            <w:tcW w:w="1188" w:type="dxa"/>
          </w:tcPr>
          <w:p w:rsidR="00553126" w:rsidRPr="00AF0505" w:rsidRDefault="00553126" w:rsidP="00AF0505">
            <w:pPr>
              <w:pStyle w:val="refCaracterCaracterCaracterCaracterCaracterCaracterCaracterCaracter"/>
              <w:ind w:firstLine="0"/>
              <w:jc w:val="center"/>
              <w:rPr>
                <w:sz w:val="28"/>
                <w:szCs w:val="28"/>
              </w:rPr>
            </w:pPr>
            <w:r w:rsidRPr="00AF0505">
              <w:rPr>
                <w:sz w:val="28"/>
                <w:szCs w:val="28"/>
              </w:rPr>
              <w:lastRenderedPageBreak/>
              <w:t>6</w:t>
            </w:r>
          </w:p>
        </w:tc>
        <w:tc>
          <w:tcPr>
            <w:tcW w:w="7740" w:type="dxa"/>
          </w:tcPr>
          <w:p w:rsidR="00553126" w:rsidRPr="00AF0505" w:rsidRDefault="00553126" w:rsidP="00AF0505">
            <w:pPr>
              <w:pStyle w:val="refCaracterCaracterCaracterCaracterCaracterCaracterCaracterCaracter"/>
              <w:ind w:firstLine="0"/>
              <w:rPr>
                <w:sz w:val="28"/>
                <w:szCs w:val="28"/>
              </w:rPr>
            </w:pPr>
            <w:r w:rsidRPr="00AF0505">
              <w:rPr>
                <w:sz w:val="28"/>
                <w:szCs w:val="28"/>
              </w:rPr>
              <w:t>sincronizarea producţiei cu lanţul de furnizare-distribuţie pentru a depăşi localitatea optimizării;</w:t>
            </w:r>
          </w:p>
        </w:tc>
      </w:tr>
      <w:tr w:rsidR="00553126" w:rsidRPr="00AF0505" w:rsidTr="00AF0505">
        <w:tc>
          <w:tcPr>
            <w:tcW w:w="1188" w:type="dxa"/>
          </w:tcPr>
          <w:p w:rsidR="00553126" w:rsidRPr="00AF0505" w:rsidRDefault="00553126" w:rsidP="00AF0505">
            <w:pPr>
              <w:pStyle w:val="refCaracterCaracterCaracterCaracterCaracterCaracterCaracterCaracter"/>
              <w:ind w:firstLine="0"/>
              <w:jc w:val="center"/>
              <w:rPr>
                <w:sz w:val="28"/>
                <w:szCs w:val="28"/>
              </w:rPr>
            </w:pPr>
            <w:r w:rsidRPr="00AF0505">
              <w:rPr>
                <w:sz w:val="28"/>
                <w:szCs w:val="28"/>
              </w:rPr>
              <w:t>7</w:t>
            </w:r>
          </w:p>
        </w:tc>
        <w:tc>
          <w:tcPr>
            <w:tcW w:w="7740" w:type="dxa"/>
          </w:tcPr>
          <w:p w:rsidR="00553126" w:rsidRPr="00AF0505" w:rsidRDefault="00553126" w:rsidP="00AF0505">
            <w:pPr>
              <w:pStyle w:val="refCaracterCaracterCaracterCaracterCaracterCaracterCaracterCaracter"/>
              <w:ind w:firstLine="0"/>
              <w:rPr>
                <w:sz w:val="28"/>
                <w:szCs w:val="28"/>
              </w:rPr>
            </w:pPr>
            <w:r w:rsidRPr="00AF0505">
              <w:rPr>
                <w:sz w:val="28"/>
                <w:szCs w:val="28"/>
              </w:rPr>
              <w:t>considerarea capacităţii reale şi a restricţiilor diverselor elemente care afectează lanţul furnizare-producţie-distribuţie, chiar dacă se referă la proces, instalaţie, maşini, condiţii de muncă, instrumente, spaţiu, contractori sau alte variabile importante optimizării globale;</w:t>
            </w:r>
          </w:p>
        </w:tc>
      </w:tr>
      <w:tr w:rsidR="00553126" w:rsidRPr="00AF0505" w:rsidTr="00AF0505">
        <w:tc>
          <w:tcPr>
            <w:tcW w:w="1188" w:type="dxa"/>
          </w:tcPr>
          <w:p w:rsidR="00553126" w:rsidRPr="00AF0505" w:rsidRDefault="00553126" w:rsidP="00AF0505">
            <w:pPr>
              <w:pStyle w:val="refCaracterCaracterCaracterCaracterCaracterCaracterCaracterCaracter"/>
              <w:ind w:firstLine="0"/>
              <w:jc w:val="center"/>
              <w:rPr>
                <w:sz w:val="28"/>
                <w:szCs w:val="28"/>
              </w:rPr>
            </w:pPr>
            <w:r w:rsidRPr="00AF0505">
              <w:rPr>
                <w:sz w:val="28"/>
                <w:szCs w:val="28"/>
              </w:rPr>
              <w:t>8</w:t>
            </w:r>
          </w:p>
        </w:tc>
        <w:tc>
          <w:tcPr>
            <w:tcW w:w="7740" w:type="dxa"/>
          </w:tcPr>
          <w:p w:rsidR="00553126" w:rsidRPr="00AF0505" w:rsidRDefault="00553126" w:rsidP="00AF0505">
            <w:pPr>
              <w:pStyle w:val="refCaracterCaracterCaracterCaracterCaracterCaracterCaracterCaracter"/>
              <w:ind w:firstLine="0"/>
              <w:rPr>
                <w:sz w:val="28"/>
                <w:szCs w:val="28"/>
              </w:rPr>
            </w:pPr>
            <w:r w:rsidRPr="00AF0505">
              <w:rPr>
                <w:sz w:val="28"/>
                <w:szCs w:val="28"/>
              </w:rPr>
              <w:t xml:space="preserve">asigurarea robusteţii programelor, prin durată de viaţă rezonabilă şi prin abilitatea de a sprijini componenta managerială în îndeplinirea sarcinilor asociate. </w:t>
            </w:r>
          </w:p>
        </w:tc>
      </w:tr>
    </w:tbl>
    <w:p w:rsidR="00E76AF1" w:rsidRPr="007B0EB1" w:rsidRDefault="00E76AF1" w:rsidP="006A5545">
      <w:pPr>
        <w:pStyle w:val="refCaracterCaracterCaracterCaracterCaracterCaracterCaracterCaracter"/>
        <w:rPr>
          <w:sz w:val="28"/>
          <w:szCs w:val="28"/>
        </w:rPr>
      </w:pPr>
    </w:p>
    <w:p w:rsidR="006A5545" w:rsidRPr="007B0EB1" w:rsidRDefault="006A5545" w:rsidP="006A5545">
      <w:pPr>
        <w:pStyle w:val="refCaracterCaracterCaracterCaracterCaracterCaracterCaracterCaracter"/>
        <w:rPr>
          <w:sz w:val="28"/>
          <w:szCs w:val="28"/>
        </w:rPr>
      </w:pPr>
    </w:p>
    <w:p w:rsidR="006A5545" w:rsidRPr="007B0EB1" w:rsidRDefault="006A5545" w:rsidP="007B0EB1">
      <w:pPr>
        <w:pStyle w:val="refCaracterCaracterCaracterCaracterCaracterCaracterCaracterCaracter"/>
        <w:rPr>
          <w:b/>
          <w:i/>
          <w:sz w:val="28"/>
          <w:szCs w:val="28"/>
        </w:rPr>
      </w:pPr>
    </w:p>
    <w:p w:rsidR="0014265F" w:rsidRPr="00553126" w:rsidRDefault="0014265F">
      <w:pPr>
        <w:rPr>
          <w:sz w:val="28"/>
          <w:szCs w:val="28"/>
          <w:lang w:val="ro-RO"/>
        </w:rPr>
      </w:pPr>
    </w:p>
    <w:sectPr w:rsidR="0014265F" w:rsidRPr="00553126" w:rsidSect="0032222B">
      <w:footerReference w:type="even" r:id="rId8"/>
      <w:footerReference w:type="default" r:id="rId9"/>
      <w:pgSz w:w="11907" w:h="16840" w:code="9"/>
      <w:pgMar w:top="1418" w:right="1134" w:bottom="1418"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F0A" w:rsidRDefault="00412F0A">
      <w:r>
        <w:separator/>
      </w:r>
    </w:p>
  </w:endnote>
  <w:endnote w:type="continuationSeparator" w:id="1">
    <w:p w:rsidR="00412F0A" w:rsidRDefault="00412F0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CB7" w:rsidRDefault="00A95CB7" w:rsidP="00582B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95CB7" w:rsidRDefault="00A95C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CB7" w:rsidRDefault="00A95CB7" w:rsidP="00582B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253D6">
      <w:rPr>
        <w:rStyle w:val="PageNumber"/>
        <w:noProof/>
      </w:rPr>
      <w:t>4</w:t>
    </w:r>
    <w:r>
      <w:rPr>
        <w:rStyle w:val="PageNumber"/>
      </w:rPr>
      <w:fldChar w:fldCharType="end"/>
    </w:r>
  </w:p>
  <w:p w:rsidR="00A95CB7" w:rsidRDefault="00A95C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F0A" w:rsidRDefault="00412F0A">
      <w:r>
        <w:separator/>
      </w:r>
    </w:p>
  </w:footnote>
  <w:footnote w:type="continuationSeparator" w:id="1">
    <w:p w:rsidR="00412F0A" w:rsidRDefault="00412F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6667F"/>
    <w:multiLevelType w:val="hybridMultilevel"/>
    <w:tmpl w:val="D5D03284"/>
    <w:lvl w:ilvl="0" w:tplc="04090005">
      <w:start w:val="1"/>
      <w:numFmt w:val="bullet"/>
      <w:lvlText w:val=""/>
      <w:lvlJc w:val="left"/>
      <w:pPr>
        <w:tabs>
          <w:tab w:val="num" w:pos="1287"/>
        </w:tabs>
        <w:ind w:left="1287" w:hanging="360"/>
      </w:pPr>
      <w:rPr>
        <w:rFonts w:ascii="Wingdings" w:hAnsi="Wingdings" w:hint="default"/>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14265F"/>
    <w:rsid w:val="00055CC5"/>
    <w:rsid w:val="00082789"/>
    <w:rsid w:val="000D7DBA"/>
    <w:rsid w:val="00135F17"/>
    <w:rsid w:val="0014265F"/>
    <w:rsid w:val="002742D1"/>
    <w:rsid w:val="0032222B"/>
    <w:rsid w:val="003253D6"/>
    <w:rsid w:val="00332238"/>
    <w:rsid w:val="00412F0A"/>
    <w:rsid w:val="004326FE"/>
    <w:rsid w:val="004353BB"/>
    <w:rsid w:val="00486CEC"/>
    <w:rsid w:val="00490758"/>
    <w:rsid w:val="004E6D19"/>
    <w:rsid w:val="004F5B0A"/>
    <w:rsid w:val="00553126"/>
    <w:rsid w:val="005766D7"/>
    <w:rsid w:val="00582BB0"/>
    <w:rsid w:val="006A5545"/>
    <w:rsid w:val="006C7042"/>
    <w:rsid w:val="007B0EB1"/>
    <w:rsid w:val="0082435C"/>
    <w:rsid w:val="008E4155"/>
    <w:rsid w:val="00960E71"/>
    <w:rsid w:val="00A95CB7"/>
    <w:rsid w:val="00AF0505"/>
    <w:rsid w:val="00B52B52"/>
    <w:rsid w:val="00B74288"/>
    <w:rsid w:val="00BF63CF"/>
    <w:rsid w:val="00C22879"/>
    <w:rsid w:val="00C4031E"/>
    <w:rsid w:val="00C77F8A"/>
    <w:rsid w:val="00CA7387"/>
    <w:rsid w:val="00CB36E1"/>
    <w:rsid w:val="00CC5C47"/>
    <w:rsid w:val="00CE42C3"/>
    <w:rsid w:val="00DD7DDF"/>
    <w:rsid w:val="00E4201C"/>
    <w:rsid w:val="00E76AF1"/>
    <w:rsid w:val="00F24831"/>
    <w:rsid w:val="00F264C4"/>
    <w:rsid w:val="00F64BE6"/>
    <w:rsid w:val="00F75804"/>
    <w:rsid w:val="00FB6C26"/>
    <w:rsid w:val="00FF57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refCaracterCaracterCaracterCaracterCaracterCaracterCaracterCaracter">
    <w:name w:val="ref Caracter Caracter Caracter Caracter Caracter Caracter Caracter Caracter"/>
    <w:basedOn w:val="Normal"/>
    <w:link w:val="refCaracterCaracterCaracterCaracterCaracterCaracterCaracterCaracterCaracter"/>
    <w:autoRedefine/>
    <w:rsid w:val="0014265F"/>
    <w:pPr>
      <w:ind w:firstLine="567"/>
      <w:jc w:val="both"/>
    </w:pPr>
    <w:rPr>
      <w:lang w:val="ro-RO"/>
    </w:rPr>
  </w:style>
  <w:style w:type="character" w:customStyle="1" w:styleId="refCaracterCaracterCaracterCaracterCaracterCaracterCaracterCaracterCaracter">
    <w:name w:val="ref Caracter Caracter Caracter Caracter Caracter Caracter Caracter Caracter Caracter"/>
    <w:basedOn w:val="DefaultParagraphFont"/>
    <w:link w:val="refCaracterCaracterCaracterCaracterCaracterCaracterCaracterCaracter"/>
    <w:rsid w:val="0014265F"/>
    <w:rPr>
      <w:sz w:val="24"/>
      <w:szCs w:val="24"/>
      <w:lang w:val="ro-RO" w:eastAsia="en-US" w:bidi="ar-SA"/>
    </w:rPr>
  </w:style>
  <w:style w:type="paragraph" w:styleId="FootnoteText">
    <w:name w:val="footnote text"/>
    <w:basedOn w:val="Normal"/>
    <w:semiHidden/>
    <w:rsid w:val="0014265F"/>
    <w:pPr>
      <w:ind w:firstLine="567"/>
      <w:jc w:val="both"/>
    </w:pPr>
    <w:rPr>
      <w:sz w:val="20"/>
      <w:szCs w:val="20"/>
      <w:lang w:val="ro-RO"/>
    </w:rPr>
  </w:style>
  <w:style w:type="character" w:styleId="FootnoteReference">
    <w:name w:val="footnote reference"/>
    <w:basedOn w:val="DefaultParagraphFont"/>
    <w:semiHidden/>
    <w:rsid w:val="0014265F"/>
    <w:rPr>
      <w:vertAlign w:val="superscript"/>
    </w:rPr>
  </w:style>
  <w:style w:type="paragraph" w:styleId="Footer">
    <w:name w:val="footer"/>
    <w:basedOn w:val="Normal"/>
    <w:rsid w:val="00055CC5"/>
    <w:pPr>
      <w:tabs>
        <w:tab w:val="center" w:pos="4320"/>
        <w:tab w:val="right" w:pos="8640"/>
      </w:tabs>
    </w:pPr>
  </w:style>
  <w:style w:type="character" w:styleId="PageNumber">
    <w:name w:val="page number"/>
    <w:basedOn w:val="DefaultParagraphFont"/>
    <w:rsid w:val="00055CC5"/>
  </w:style>
  <w:style w:type="paragraph" w:styleId="Header">
    <w:name w:val="header"/>
    <w:basedOn w:val="Normal"/>
    <w:rsid w:val="008E4155"/>
    <w:pPr>
      <w:tabs>
        <w:tab w:val="center" w:pos="4320"/>
        <w:tab w:val="right" w:pos="8640"/>
      </w:tabs>
    </w:pPr>
  </w:style>
  <w:style w:type="table" w:styleId="TableGrid">
    <w:name w:val="Table Grid"/>
    <w:basedOn w:val="TableNormal"/>
    <w:rsid w:val="00E76A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E29FA-7BFC-4859-8CCA-C42B06C60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1175</Words>
  <Characters>6698</Characters>
  <Application>Microsoft Office Word</Application>
  <DocSecurity>0</DocSecurity>
  <Lines>55</Lines>
  <Paragraphs>15</Paragraphs>
  <ScaleCrop>false</ScaleCrop>
  <HeadingPairs>
    <vt:vector size="2" baseType="variant">
      <vt:variant>
        <vt:lpstr>Titlu</vt:lpstr>
      </vt:variant>
      <vt:variant>
        <vt:i4>1</vt:i4>
      </vt:variant>
    </vt:vector>
  </HeadingPairs>
  <TitlesOfParts>
    <vt:vector size="1" baseType="lpstr">
      <vt:lpstr>Prin aderarea României la Convenţia privind elaborarea Farmacopeei  Europene (la data de 24</vt:lpstr>
    </vt:vector>
  </TitlesOfParts>
  <Company>acasa</Company>
  <LinksUpToDate>false</LinksUpToDate>
  <CharactersWithSpaces>7858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 aderarea României la Convenţia privind elaborarea Farmacopeei  Europene (la data de 24</dc:title>
  <dc:subject/>
  <dc:creator>simona</dc:creator>
  <cp:keywords/>
  <dc:description/>
  <cp:lastModifiedBy>Simona Nicoara</cp:lastModifiedBy>
  <cp:revision>2</cp:revision>
  <dcterms:created xsi:type="dcterms:W3CDTF">2010-10-14T11:35:00Z</dcterms:created>
  <dcterms:modified xsi:type="dcterms:W3CDTF">2010-10-14T11:35:00Z</dcterms:modified>
</cp:coreProperties>
</file>