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3A9" w:rsidRPr="007673A9" w:rsidRDefault="007673A9" w:rsidP="00B86E82">
      <w:pPr>
        <w:pStyle w:val="FootnoteText"/>
        <w:rPr>
          <w:b/>
          <w:sz w:val="28"/>
          <w:szCs w:val="28"/>
        </w:rPr>
      </w:pPr>
      <w:r w:rsidRPr="007673A9">
        <w:rPr>
          <w:b/>
          <w:sz w:val="28"/>
          <w:szCs w:val="28"/>
        </w:rPr>
        <w:t>Note de subsol</w:t>
      </w:r>
    </w:p>
    <w:p w:rsidR="002E66AE" w:rsidRDefault="002E66AE" w:rsidP="002E66AE">
      <w:pPr>
        <w:pStyle w:val="FootnoteText"/>
        <w:rPr>
          <w:sz w:val="24"/>
          <w:szCs w:val="24"/>
        </w:rPr>
      </w:pPr>
    </w:p>
    <w:p w:rsidR="00B86E82" w:rsidRPr="008F081C" w:rsidRDefault="00B86E82" w:rsidP="00B86E82">
      <w:pPr>
        <w:pStyle w:val="FootnoteText"/>
        <w:rPr>
          <w:sz w:val="24"/>
          <w:szCs w:val="24"/>
          <w:lang w:val="fr-FR"/>
        </w:rPr>
      </w:pPr>
      <w:r w:rsidRPr="007673A9">
        <w:rPr>
          <w:sz w:val="24"/>
          <w:szCs w:val="24"/>
        </w:rPr>
        <w:t xml:space="preserve">De exemplu, la fiecare oră, </w:t>
      </w:r>
      <w:r w:rsidRPr="007673A9">
        <w:rPr>
          <w:i/>
          <w:sz w:val="24"/>
          <w:szCs w:val="24"/>
        </w:rPr>
        <w:t>GlaxoSmithKline</w:t>
      </w:r>
      <w:r w:rsidRPr="007673A9">
        <w:rPr>
          <w:sz w:val="24"/>
          <w:szCs w:val="24"/>
        </w:rPr>
        <w:t xml:space="preserve"> investeşte peste $450.000 pentru cercetarea în domeniul medicamentelor. </w:t>
      </w:r>
    </w:p>
    <w:p w:rsidR="00B86E82" w:rsidRPr="007673A9" w:rsidRDefault="00B86E82" w:rsidP="00B86E82">
      <w:pPr>
        <w:pStyle w:val="FootnoteText"/>
        <w:rPr>
          <w:sz w:val="24"/>
          <w:szCs w:val="24"/>
        </w:rPr>
      </w:pPr>
      <w:r w:rsidRPr="007673A9">
        <w:rPr>
          <w:sz w:val="24"/>
          <w:szCs w:val="24"/>
        </w:rPr>
        <w:t>Date la nivelul SUA. Identificarea şi dezvoltarea acestora durează 5-9 ani, la un cost de 600 mil. dolari, iar 73% din aceste costuri sunt asociate eşecurilor de pe parcursul proceselor.</w:t>
      </w:r>
    </w:p>
    <w:p w:rsidR="00B86E82" w:rsidRPr="007673A9" w:rsidRDefault="00B86E82" w:rsidP="00B86E82">
      <w:pPr>
        <w:pStyle w:val="FootnoteText"/>
        <w:rPr>
          <w:sz w:val="24"/>
          <w:szCs w:val="24"/>
        </w:rPr>
      </w:pPr>
      <w:r w:rsidRPr="007673A9">
        <w:rPr>
          <w:sz w:val="24"/>
          <w:szCs w:val="24"/>
          <w:lang w:val="fr-FR"/>
        </w:rPr>
        <w:t xml:space="preserve">La sfârşitul anului 2003, numărul unităţilor autorizate de Ministerul Sănătăţii era 66. </w:t>
      </w:r>
    </w:p>
    <w:p w:rsidR="00B86E82" w:rsidRPr="007673A9" w:rsidRDefault="00B86E82" w:rsidP="00B86E82">
      <w:pPr>
        <w:pStyle w:val="FootnoteText"/>
        <w:rPr>
          <w:sz w:val="24"/>
          <w:szCs w:val="24"/>
        </w:rPr>
      </w:pPr>
      <w:r w:rsidRPr="007673A9">
        <w:rPr>
          <w:sz w:val="24"/>
          <w:szCs w:val="24"/>
        </w:rPr>
        <w:t>Totalitatea activităţilor de detectare, evaluare, validare şi prevenire a reacţiilor adverse la produsele medicamentoase.</w:t>
      </w:r>
    </w:p>
    <w:p w:rsidR="00B86E82" w:rsidRPr="007673A9" w:rsidRDefault="00B86E82" w:rsidP="00B86E82">
      <w:pPr>
        <w:pStyle w:val="FootnoteText"/>
        <w:rPr>
          <w:sz w:val="24"/>
          <w:szCs w:val="24"/>
        </w:rPr>
      </w:pPr>
      <w:r w:rsidRPr="007673A9">
        <w:rPr>
          <w:sz w:val="24"/>
          <w:szCs w:val="24"/>
        </w:rPr>
        <w:t xml:space="preserve">Termenul </w:t>
      </w:r>
      <w:r w:rsidRPr="007673A9">
        <w:rPr>
          <w:i/>
          <w:sz w:val="24"/>
          <w:szCs w:val="24"/>
        </w:rPr>
        <w:t>farmacopee</w:t>
      </w:r>
      <w:r w:rsidRPr="007673A9">
        <w:rPr>
          <w:sz w:val="24"/>
          <w:szCs w:val="24"/>
        </w:rPr>
        <w:t>, cf. Dicţionarului explicativ al limbii române, ed. A II-a, 1998, desemnează manualul oficial, cu caracter normativ, folosit în practica farmaceutică, conţinând descrierea şi indicaţiile pentru controlul celor mai importante substanţe şi formule farmaceutice, cu scopul de a îndruma prepararea, conservarea ş</w:t>
      </w:r>
      <w:r w:rsidR="00DB39A0">
        <w:rPr>
          <w:sz w:val="24"/>
          <w:szCs w:val="24"/>
        </w:rPr>
        <w:t>i întrebuinţarea medicamentelor (cit02).</w:t>
      </w:r>
    </w:p>
    <w:p w:rsidR="00B86E82" w:rsidRPr="007673A9" w:rsidRDefault="00B86E82" w:rsidP="00B86E82">
      <w:pPr>
        <w:pStyle w:val="FootnoteText"/>
        <w:rPr>
          <w:sz w:val="24"/>
          <w:szCs w:val="24"/>
        </w:rPr>
      </w:pPr>
      <w:r w:rsidRPr="007673A9">
        <w:rPr>
          <w:sz w:val="24"/>
          <w:szCs w:val="24"/>
        </w:rPr>
        <w:t>Conform unei analize efectuate de ANM, în cursul anului 2004, 15 unităţi de producţie deţineau certificat GMP, din care 13 pentru toate fluxurile de fabricaţie. Unităţile în cauză au dreptul să ofere pe piaţă 728 de produse (57% din totalul de 1.276 de medicamente româneşti autorizate).</w:t>
      </w:r>
    </w:p>
    <w:p w:rsidR="00B86E82" w:rsidRDefault="00B86E82">
      <w:pPr>
        <w:rPr>
          <w:lang w:val="fr-FR"/>
        </w:rPr>
      </w:pPr>
    </w:p>
    <w:p w:rsidR="00C65655" w:rsidRPr="008F081C" w:rsidRDefault="00C65655">
      <w:pPr>
        <w:rPr>
          <w:lang w:val="fr-FR"/>
        </w:rPr>
      </w:pPr>
    </w:p>
    <w:p w:rsidR="009316D4" w:rsidRDefault="009316D4" w:rsidP="009316D4">
      <w:pPr>
        <w:pStyle w:val="FootnoteText"/>
        <w:rPr>
          <w:b/>
          <w:sz w:val="28"/>
          <w:szCs w:val="28"/>
        </w:rPr>
      </w:pPr>
      <w:r>
        <w:rPr>
          <w:b/>
          <w:sz w:val="28"/>
          <w:szCs w:val="28"/>
        </w:rPr>
        <w:t xml:space="preserve">Referinţe </w:t>
      </w:r>
    </w:p>
    <w:p w:rsidR="009316D4" w:rsidRPr="007673A9" w:rsidRDefault="009316D4" w:rsidP="009316D4">
      <w:pPr>
        <w:pStyle w:val="FootnoteText"/>
        <w:rPr>
          <w:b/>
          <w:sz w:val="28"/>
          <w:szCs w:val="28"/>
        </w:rPr>
      </w:pPr>
    </w:p>
    <w:p w:rsidR="009316D4" w:rsidRDefault="009316D4" w:rsidP="009316D4">
      <w:pPr>
        <w:pStyle w:val="NRORE"/>
        <w:numPr>
          <w:ilvl w:val="0"/>
          <w:numId w:val="1"/>
        </w:numPr>
        <w:jc w:val="left"/>
        <w:rPr>
          <w:sz w:val="22"/>
          <w:szCs w:val="22"/>
        </w:rPr>
      </w:pPr>
      <w:bookmarkStart w:id="0" w:name="_Ref234553029"/>
      <w:r w:rsidRPr="0023100D">
        <w:rPr>
          <w:sz w:val="22"/>
          <w:szCs w:val="22"/>
        </w:rPr>
        <w:t xml:space="preserve">Beyer, </w:t>
      </w:r>
      <w:r>
        <w:rPr>
          <w:sz w:val="22"/>
          <w:szCs w:val="22"/>
        </w:rPr>
        <w:t>H.</w:t>
      </w:r>
      <w:r w:rsidRPr="0023100D">
        <w:rPr>
          <w:sz w:val="22"/>
          <w:szCs w:val="22"/>
        </w:rPr>
        <w:t>G.</w:t>
      </w:r>
      <w:r>
        <w:rPr>
          <w:sz w:val="22"/>
          <w:szCs w:val="22"/>
        </w:rPr>
        <w:t>,</w:t>
      </w:r>
      <w:r w:rsidRPr="0023100D">
        <w:rPr>
          <w:sz w:val="22"/>
          <w:szCs w:val="22"/>
        </w:rPr>
        <w:t xml:space="preserve"> Schwefel,</w:t>
      </w:r>
      <w:r>
        <w:rPr>
          <w:sz w:val="22"/>
          <w:szCs w:val="22"/>
        </w:rPr>
        <w:t xml:space="preserve"> G.</w:t>
      </w:r>
      <w:r w:rsidRPr="0023100D">
        <w:rPr>
          <w:sz w:val="22"/>
          <w:szCs w:val="22"/>
        </w:rPr>
        <w:t xml:space="preserve"> (2002), </w:t>
      </w:r>
      <w:r w:rsidRPr="0023100D">
        <w:rPr>
          <w:i/>
          <w:sz w:val="22"/>
          <w:szCs w:val="22"/>
        </w:rPr>
        <w:t>How to analyse pharmaceutical industry</w:t>
      </w:r>
      <w:r w:rsidRPr="0023100D">
        <w:rPr>
          <w:sz w:val="22"/>
          <w:szCs w:val="22"/>
        </w:rPr>
        <w:t>, Kluwer Academic Publishers</w:t>
      </w:r>
      <w:r>
        <w:rPr>
          <w:sz w:val="22"/>
          <w:szCs w:val="22"/>
        </w:rPr>
        <w:t>, New York</w:t>
      </w:r>
      <w:bookmarkEnd w:id="0"/>
      <w:r w:rsidRPr="0023100D">
        <w:rPr>
          <w:sz w:val="22"/>
          <w:szCs w:val="22"/>
        </w:rPr>
        <w:t xml:space="preserve"> </w:t>
      </w:r>
    </w:p>
    <w:p w:rsidR="009316D4" w:rsidRPr="0023100D" w:rsidRDefault="009316D4" w:rsidP="009316D4">
      <w:pPr>
        <w:pStyle w:val="NRORE"/>
        <w:numPr>
          <w:ilvl w:val="0"/>
          <w:numId w:val="1"/>
        </w:numPr>
        <w:jc w:val="left"/>
        <w:rPr>
          <w:sz w:val="22"/>
          <w:szCs w:val="22"/>
        </w:rPr>
      </w:pPr>
      <w:r w:rsidRPr="0023100D">
        <w:rPr>
          <w:sz w:val="22"/>
          <w:szCs w:val="22"/>
        </w:rPr>
        <w:t xml:space="preserve">Eugen Popa, </w:t>
      </w:r>
      <w:r w:rsidRPr="0023100D">
        <w:rPr>
          <w:i/>
          <w:sz w:val="22"/>
          <w:szCs w:val="22"/>
        </w:rPr>
        <w:t>Farmacopeea europeană după anul 2000</w:t>
      </w:r>
      <w:r w:rsidRPr="0023100D">
        <w:rPr>
          <w:sz w:val="22"/>
          <w:szCs w:val="22"/>
        </w:rPr>
        <w:t xml:space="preserve">, Ed.All, Bucureşti, 2008 </w:t>
      </w:r>
    </w:p>
    <w:p w:rsidR="009316D4" w:rsidRPr="0023100D" w:rsidRDefault="009316D4" w:rsidP="009316D4">
      <w:pPr>
        <w:pStyle w:val="NRORE"/>
        <w:numPr>
          <w:ilvl w:val="0"/>
          <w:numId w:val="1"/>
        </w:numPr>
        <w:jc w:val="left"/>
        <w:rPr>
          <w:sz w:val="22"/>
          <w:szCs w:val="22"/>
        </w:rPr>
      </w:pPr>
      <w:r w:rsidRPr="0023100D">
        <w:rPr>
          <w:sz w:val="22"/>
          <w:szCs w:val="22"/>
        </w:rPr>
        <w:t xml:space="preserve">Andrew Stones, Ben Harris, Norme GMP,  </w:t>
      </w:r>
      <w:r w:rsidRPr="0023100D">
        <w:rPr>
          <w:i/>
          <w:sz w:val="22"/>
          <w:szCs w:val="22"/>
        </w:rPr>
        <w:t>Medical Science</w:t>
      </w:r>
      <w:r w:rsidRPr="0023100D">
        <w:rPr>
          <w:sz w:val="22"/>
          <w:szCs w:val="22"/>
        </w:rPr>
        <w:t xml:space="preserve"> 28 (</w:t>
      </w:r>
      <w:r>
        <w:rPr>
          <w:sz w:val="22"/>
          <w:szCs w:val="22"/>
        </w:rPr>
        <w:t>1</w:t>
      </w:r>
      <w:r w:rsidRPr="0023100D">
        <w:rPr>
          <w:sz w:val="22"/>
          <w:szCs w:val="22"/>
        </w:rPr>
        <w:t xml:space="preserve">), 2008, pp. </w:t>
      </w:r>
      <w:r>
        <w:rPr>
          <w:sz w:val="22"/>
          <w:szCs w:val="22"/>
        </w:rPr>
        <w:t>20</w:t>
      </w:r>
      <w:r w:rsidRPr="0023100D">
        <w:rPr>
          <w:sz w:val="22"/>
          <w:szCs w:val="22"/>
        </w:rPr>
        <w:t>-</w:t>
      </w:r>
      <w:r>
        <w:rPr>
          <w:sz w:val="22"/>
          <w:szCs w:val="22"/>
        </w:rPr>
        <w:t>26</w:t>
      </w:r>
    </w:p>
    <w:p w:rsidR="009316D4" w:rsidRDefault="009316D4" w:rsidP="009316D4">
      <w:pPr>
        <w:pStyle w:val="NRORE"/>
        <w:numPr>
          <w:ilvl w:val="0"/>
          <w:numId w:val="1"/>
        </w:numPr>
        <w:jc w:val="left"/>
        <w:rPr>
          <w:sz w:val="22"/>
          <w:szCs w:val="22"/>
        </w:rPr>
      </w:pPr>
      <w:r w:rsidRPr="00B62A49">
        <w:rPr>
          <w:sz w:val="22"/>
          <w:szCs w:val="22"/>
        </w:rPr>
        <w:t xml:space="preserve">* * * Agenţia Naţională a Medicamentului, </w:t>
      </w:r>
      <w:hyperlink r:id="rId6" w:history="1">
        <w:r w:rsidRPr="00B62A49">
          <w:rPr>
            <w:sz w:val="22"/>
            <w:szCs w:val="22"/>
          </w:rPr>
          <w:t>http://www.anm.ro</w:t>
        </w:r>
      </w:hyperlink>
      <w:r w:rsidRPr="00B62A49">
        <w:rPr>
          <w:sz w:val="22"/>
          <w:szCs w:val="22"/>
        </w:rPr>
        <w:t>, 2009</w:t>
      </w:r>
    </w:p>
    <w:p w:rsidR="009316D4" w:rsidRDefault="009316D4" w:rsidP="009316D4">
      <w:pPr>
        <w:pStyle w:val="NRORE"/>
        <w:jc w:val="left"/>
        <w:rPr>
          <w:sz w:val="22"/>
          <w:szCs w:val="22"/>
        </w:rPr>
      </w:pPr>
    </w:p>
    <w:p w:rsidR="009316D4" w:rsidRPr="00B62A49" w:rsidRDefault="009316D4" w:rsidP="009316D4">
      <w:pPr>
        <w:pStyle w:val="NRORE"/>
        <w:jc w:val="left"/>
        <w:rPr>
          <w:sz w:val="22"/>
          <w:szCs w:val="22"/>
        </w:rPr>
      </w:pPr>
    </w:p>
    <w:p w:rsidR="009316D4" w:rsidRPr="004233AB" w:rsidRDefault="009316D4" w:rsidP="009316D4">
      <w:pPr>
        <w:pStyle w:val="NRORE"/>
        <w:jc w:val="left"/>
        <w:rPr>
          <w:sz w:val="22"/>
          <w:szCs w:val="22"/>
        </w:rPr>
      </w:pPr>
    </w:p>
    <w:sectPr w:rsidR="009316D4" w:rsidRPr="004233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76B87"/>
    <w:multiLevelType w:val="singleLevel"/>
    <w:tmpl w:val="D9181950"/>
    <w:lvl w:ilvl="0">
      <w:start w:val="1"/>
      <w:numFmt w:val="decimal"/>
      <w:lvlText w:val="%1."/>
      <w:legacy w:legacy="1" w:legacySpace="0" w:legacyIndent="283"/>
      <w:lvlJc w:val="left"/>
      <w:pPr>
        <w:ind w:left="283" w:hanging="283"/>
      </w:pPr>
    </w:lvl>
  </w:abstractNum>
  <w:abstractNum w:abstractNumId="1">
    <w:nsid w:val="5765075E"/>
    <w:multiLevelType w:val="hybridMultilevel"/>
    <w:tmpl w:val="374A94F0"/>
    <w:lvl w:ilvl="0" w:tplc="EEA8699E">
      <w:start w:val="1"/>
      <w:numFmt w:val="decimal"/>
      <w:lvlText w:val="%1."/>
      <w:lvlJc w:val="left"/>
      <w:pPr>
        <w:tabs>
          <w:tab w:val="num" w:pos="927"/>
        </w:tabs>
        <w:ind w:left="927" w:hanging="360"/>
      </w:pPr>
      <w:rPr>
        <w:rFonts w:hint="default"/>
        <w:sz w:val="24"/>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86E82"/>
    <w:rsid w:val="000300EC"/>
    <w:rsid w:val="0005715D"/>
    <w:rsid w:val="002E66AE"/>
    <w:rsid w:val="004233AB"/>
    <w:rsid w:val="005A6318"/>
    <w:rsid w:val="00635716"/>
    <w:rsid w:val="007673A9"/>
    <w:rsid w:val="007E1390"/>
    <w:rsid w:val="008F081C"/>
    <w:rsid w:val="009316D4"/>
    <w:rsid w:val="00A239D8"/>
    <w:rsid w:val="00B86E82"/>
    <w:rsid w:val="00C65655"/>
    <w:rsid w:val="00DB39A0"/>
    <w:rsid w:val="00E81458"/>
    <w:rsid w:val="00EB4E61"/>
    <w:rsid w:val="00ED730C"/>
    <w:rsid w:val="00F94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B86E82"/>
    <w:pPr>
      <w:ind w:firstLine="567"/>
      <w:jc w:val="both"/>
    </w:pPr>
    <w:rPr>
      <w:sz w:val="20"/>
      <w:szCs w:val="20"/>
      <w:lang w:val="ro-RO"/>
    </w:rPr>
  </w:style>
  <w:style w:type="character" w:styleId="FootnoteReference">
    <w:name w:val="footnote reference"/>
    <w:basedOn w:val="DefaultParagraphFont"/>
    <w:semiHidden/>
    <w:rsid w:val="00B86E82"/>
    <w:rPr>
      <w:vertAlign w:val="superscript"/>
    </w:rPr>
  </w:style>
  <w:style w:type="paragraph" w:customStyle="1" w:styleId="NRORE">
    <w:name w:val="NR_ORE"/>
    <w:basedOn w:val="Normal"/>
    <w:rsid w:val="00E81458"/>
    <w:pPr>
      <w:tabs>
        <w:tab w:val="right" w:leader="dot" w:pos="8222"/>
      </w:tabs>
      <w:ind w:left="360"/>
      <w:jc w:val="both"/>
    </w:pPr>
    <w:rPr>
      <w:szCs w:val="20"/>
      <w:lang w:val="ro-RO" w:eastAsia="ro-RO"/>
    </w:rPr>
  </w:style>
  <w:style w:type="character" w:styleId="Hyperlink">
    <w:name w:val="Hyperlink"/>
    <w:basedOn w:val="DefaultParagraphFont"/>
    <w:rsid w:val="008F081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nm.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64AFE-C744-4F0F-A409-B4B9C53D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De exemplu, la fiecare oră, GlaxoSmithKline investeşte peste $450</vt:lpstr>
    </vt:vector>
  </TitlesOfParts>
  <Company>acasa</Company>
  <LinksUpToDate>false</LinksUpToDate>
  <CharactersWithSpaces>1569</CharactersWithSpaces>
  <SharedDoc>false</SharedDoc>
  <HLinks>
    <vt:vector size="6" baseType="variant">
      <vt:variant>
        <vt:i4>7995519</vt:i4>
      </vt:variant>
      <vt:variant>
        <vt:i4>0</vt:i4>
      </vt:variant>
      <vt:variant>
        <vt:i4>0</vt:i4>
      </vt:variant>
      <vt:variant>
        <vt:i4>5</vt:i4>
      </vt:variant>
      <vt:variant>
        <vt:lpwstr>http://www.anm.ro/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exemplu, la fiecare oră, GlaxoSmithKline investeşte peste $450</dc:title>
  <dc:subject/>
  <dc:creator>simona</dc:creator>
  <cp:keywords/>
  <dc:description/>
  <cp:lastModifiedBy>Simona Nicoara</cp:lastModifiedBy>
  <cp:revision>2</cp:revision>
  <dcterms:created xsi:type="dcterms:W3CDTF">2010-10-14T11:36:00Z</dcterms:created>
  <dcterms:modified xsi:type="dcterms:W3CDTF">2010-10-14T11:36:00Z</dcterms:modified>
</cp:coreProperties>
</file>